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5104"/>
        <w:gridCol w:w="3261"/>
      </w:tblGrid>
      <w:tr w:rsidR="006B3E27" w:rsidRPr="00DB7679" w:rsidTr="00936DC3">
        <w:trPr>
          <w:trHeight w:hRule="exact" w:val="851"/>
        </w:trPr>
        <w:tc>
          <w:tcPr>
            <w:tcW w:w="1274" w:type="dxa"/>
            <w:tcBorders>
              <w:bottom w:val="single" w:sz="4" w:space="0" w:color="auto"/>
            </w:tcBorders>
            <w:shd w:val="clear" w:color="auto" w:fill="auto"/>
          </w:tcPr>
          <w:p w:rsidR="006B3E27" w:rsidRPr="00983870" w:rsidRDefault="006B3E27" w:rsidP="00936DC3">
            <w:pPr>
              <w:bidi w:val="0"/>
              <w:jc w:val="right"/>
            </w:pPr>
          </w:p>
        </w:tc>
        <w:tc>
          <w:tcPr>
            <w:tcW w:w="5104" w:type="dxa"/>
            <w:tcBorders>
              <w:bottom w:val="single" w:sz="4" w:space="0" w:color="auto"/>
            </w:tcBorders>
            <w:shd w:val="clear" w:color="auto" w:fill="auto"/>
            <w:vAlign w:val="bottom"/>
          </w:tcPr>
          <w:p w:rsidR="006B3E27" w:rsidRPr="00936DC3" w:rsidRDefault="006B3E27" w:rsidP="00936DC3">
            <w:pPr>
              <w:spacing w:after="80" w:line="480" w:lineRule="exact"/>
              <w:jc w:val="left"/>
              <w:rPr>
                <w:szCs w:val="40"/>
                <w:rtl/>
              </w:rPr>
            </w:pPr>
            <w:r w:rsidRPr="00936DC3">
              <w:rPr>
                <w:rFonts w:hint="cs"/>
                <w:szCs w:val="40"/>
                <w:rtl/>
              </w:rPr>
              <w:t>الأمم المتحدة</w:t>
            </w:r>
          </w:p>
        </w:tc>
        <w:tc>
          <w:tcPr>
            <w:tcW w:w="3261" w:type="dxa"/>
            <w:tcBorders>
              <w:bottom w:val="single" w:sz="4" w:space="0" w:color="auto"/>
            </w:tcBorders>
            <w:shd w:val="clear" w:color="auto" w:fill="auto"/>
            <w:vAlign w:val="bottom"/>
          </w:tcPr>
          <w:p w:rsidR="006B3E27" w:rsidRPr="00936DC3" w:rsidRDefault="007804C7" w:rsidP="007804C7">
            <w:pPr>
              <w:bidi w:val="0"/>
              <w:spacing w:after="20"/>
              <w:jc w:val="left"/>
              <w:rPr>
                <w:szCs w:val="20"/>
              </w:rPr>
            </w:pPr>
            <w:bookmarkStart w:id="0" w:name="_GoBack"/>
            <w:r w:rsidRPr="007804C7">
              <w:rPr>
                <w:sz w:val="40"/>
                <w:szCs w:val="20"/>
              </w:rPr>
              <w:t>CRC</w:t>
            </w:r>
            <w:r>
              <w:rPr>
                <w:szCs w:val="20"/>
              </w:rPr>
              <w:t>/C/OPAC/MAR/CO/1</w:t>
            </w:r>
            <w:bookmarkEnd w:id="0"/>
          </w:p>
        </w:tc>
      </w:tr>
      <w:tr w:rsidR="006B3E27" w:rsidRPr="00DB7679" w:rsidTr="00936DC3">
        <w:trPr>
          <w:trHeight w:hRule="exact" w:val="2835"/>
        </w:trPr>
        <w:tc>
          <w:tcPr>
            <w:tcW w:w="1274" w:type="dxa"/>
            <w:tcBorders>
              <w:top w:val="single" w:sz="4" w:space="0" w:color="auto"/>
              <w:bottom w:val="single" w:sz="12" w:space="0" w:color="auto"/>
            </w:tcBorders>
            <w:shd w:val="clear" w:color="auto" w:fill="auto"/>
          </w:tcPr>
          <w:p w:rsidR="006B3E27" w:rsidRPr="00DB7679" w:rsidRDefault="00372424" w:rsidP="00936DC3">
            <w:pPr>
              <w:jc w:val="center"/>
              <w:rPr>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9.8pt;height:48pt;visibility:visible">
                  <v:imagedata r:id="rId8" o:title="" croptop="-909f" cropbottom="-909f" cropleft="-34f" cropright="-34f"/>
                </v:shape>
              </w:pict>
            </w:r>
          </w:p>
        </w:tc>
        <w:tc>
          <w:tcPr>
            <w:tcW w:w="5104" w:type="dxa"/>
            <w:tcBorders>
              <w:top w:val="single" w:sz="4" w:space="0" w:color="auto"/>
              <w:bottom w:val="single" w:sz="12" w:space="0" w:color="auto"/>
            </w:tcBorders>
            <w:shd w:val="clear" w:color="auto" w:fill="auto"/>
          </w:tcPr>
          <w:p w:rsidR="006B3E27" w:rsidRPr="00936DC3" w:rsidRDefault="001E1CAD" w:rsidP="00936DC3">
            <w:pPr>
              <w:spacing w:before="240" w:after="40" w:line="640" w:lineRule="exact"/>
              <w:jc w:val="left"/>
              <w:rPr>
                <w:b/>
                <w:bCs/>
                <w:sz w:val="60"/>
                <w:szCs w:val="60"/>
                <w:rtl/>
              </w:rPr>
            </w:pPr>
            <w:r w:rsidRPr="00936DC3">
              <w:rPr>
                <w:rFonts w:hint="cs"/>
                <w:b/>
                <w:bCs/>
                <w:sz w:val="60"/>
                <w:szCs w:val="60"/>
                <w:rtl/>
              </w:rPr>
              <w:t>ا</w:t>
            </w:r>
            <w:r w:rsidR="004A14A6" w:rsidRPr="00936DC3">
              <w:rPr>
                <w:rFonts w:hint="cs"/>
                <w:b/>
                <w:bCs/>
                <w:sz w:val="60"/>
                <w:szCs w:val="60"/>
                <w:rtl/>
              </w:rPr>
              <w:t>تفاقي</w:t>
            </w:r>
            <w:r w:rsidR="00523BAE" w:rsidRPr="00936DC3">
              <w:rPr>
                <w:rFonts w:hint="cs"/>
                <w:b/>
                <w:bCs/>
                <w:sz w:val="60"/>
                <w:szCs w:val="60"/>
                <w:rtl/>
              </w:rPr>
              <w:t>ـ</w:t>
            </w:r>
            <w:r w:rsidR="004A14A6" w:rsidRPr="00936DC3">
              <w:rPr>
                <w:rFonts w:hint="cs"/>
                <w:b/>
                <w:bCs/>
                <w:sz w:val="60"/>
                <w:szCs w:val="60"/>
                <w:rtl/>
              </w:rPr>
              <w:t xml:space="preserve">ة </w:t>
            </w:r>
            <w:r w:rsidR="0045649E" w:rsidRPr="00936DC3">
              <w:rPr>
                <w:rFonts w:hint="cs"/>
                <w:b/>
                <w:bCs/>
                <w:sz w:val="60"/>
                <w:szCs w:val="60"/>
                <w:rtl/>
              </w:rPr>
              <w:t xml:space="preserve">حقوق </w:t>
            </w:r>
            <w:r w:rsidR="00A65558" w:rsidRPr="00936DC3">
              <w:rPr>
                <w:rFonts w:hint="cs"/>
                <w:b/>
                <w:bCs/>
                <w:sz w:val="60"/>
                <w:szCs w:val="60"/>
                <w:rtl/>
              </w:rPr>
              <w:t>الطفل</w:t>
            </w:r>
          </w:p>
        </w:tc>
        <w:tc>
          <w:tcPr>
            <w:tcW w:w="3261" w:type="dxa"/>
            <w:tcBorders>
              <w:top w:val="single" w:sz="4" w:space="0" w:color="auto"/>
              <w:bottom w:val="single" w:sz="12" w:space="0" w:color="auto"/>
            </w:tcBorders>
            <w:shd w:val="clear" w:color="auto" w:fill="auto"/>
          </w:tcPr>
          <w:p w:rsidR="006B3E27" w:rsidRDefault="007804C7" w:rsidP="007804C7">
            <w:pPr>
              <w:bidi w:val="0"/>
              <w:spacing w:before="240"/>
              <w:jc w:val="left"/>
            </w:pPr>
            <w:r>
              <w:t>Distr.: General</w:t>
            </w:r>
          </w:p>
          <w:p w:rsidR="007804C7" w:rsidRDefault="006126DA" w:rsidP="007804C7">
            <w:pPr>
              <w:bidi w:val="0"/>
              <w:jc w:val="left"/>
            </w:pPr>
            <w:r>
              <w:t>13 November 2014</w:t>
            </w:r>
          </w:p>
          <w:p w:rsidR="007804C7" w:rsidRDefault="007804C7" w:rsidP="007804C7">
            <w:pPr>
              <w:bidi w:val="0"/>
              <w:jc w:val="left"/>
            </w:pPr>
            <w:r>
              <w:t>Arabic</w:t>
            </w:r>
          </w:p>
          <w:p w:rsidR="007804C7" w:rsidRPr="008B4BC6" w:rsidRDefault="007804C7" w:rsidP="007804C7">
            <w:pPr>
              <w:bidi w:val="0"/>
              <w:jc w:val="left"/>
            </w:pPr>
            <w:r>
              <w:t>Original: English</w:t>
            </w:r>
          </w:p>
        </w:tc>
      </w:tr>
    </w:tbl>
    <w:p w:rsidR="006126DA" w:rsidRPr="006126DA" w:rsidRDefault="006126DA" w:rsidP="003F3B62">
      <w:pPr>
        <w:spacing w:before="120" w:after="240" w:line="380" w:lineRule="exact"/>
        <w:textDirection w:val="tbRlV"/>
        <w:rPr>
          <w:rFonts w:ascii="Traditional Arabic" w:hAnsi="Traditional Arabic"/>
          <w:bCs/>
          <w:sz w:val="36"/>
          <w:szCs w:val="36"/>
          <w:rtl/>
          <w:lang w:eastAsia="zh-TW"/>
        </w:rPr>
      </w:pPr>
      <w:r w:rsidRPr="006126DA">
        <w:rPr>
          <w:rFonts w:ascii="Traditional Arabic" w:hAnsi="Traditional Arabic"/>
          <w:bCs/>
          <w:sz w:val="36"/>
          <w:szCs w:val="36"/>
          <w:rtl/>
          <w:lang w:eastAsia="zh-TW"/>
        </w:rPr>
        <w:t>لجنة حقوق الطفل‏</w:t>
      </w:r>
    </w:p>
    <w:p w:rsidR="006126DA" w:rsidRPr="008B55B4" w:rsidRDefault="006126DA" w:rsidP="00EE384F">
      <w:pPr>
        <w:pStyle w:val="HChGA"/>
        <w:rPr>
          <w:rtl/>
          <w:lang w:eastAsia="zh-TW"/>
        </w:rPr>
      </w:pPr>
      <w:r w:rsidRPr="008B55B4">
        <w:rPr>
          <w:rtl/>
          <w:lang w:eastAsia="zh-TW"/>
        </w:rPr>
        <w:tab/>
      </w:r>
      <w:r w:rsidRPr="008B55B4">
        <w:rPr>
          <w:rtl/>
          <w:lang w:eastAsia="zh-TW"/>
        </w:rPr>
        <w:tab/>
        <w:t>الملاحظات الختامية المتعلقة بالتقرير المقدم من المغرب بموجب الفقرة 1 من المادة 8 من البروتوكول الاختياري لاتفاقية حقوق الطفل بشأن اشتر</w:t>
      </w:r>
      <w:r w:rsidR="003F3B62">
        <w:rPr>
          <w:rtl/>
          <w:lang w:eastAsia="zh-TW"/>
        </w:rPr>
        <w:t>اك الأطفال في المنازعات المسلحة</w:t>
      </w:r>
      <w:r w:rsidR="003F3B62" w:rsidRPr="003F3B62">
        <w:rPr>
          <w:rStyle w:val="Rimandonotaapidipagina"/>
          <w:sz w:val="20"/>
          <w:vertAlign w:val="baseline"/>
          <w:rtl/>
          <w:lang w:eastAsia="zh-TW"/>
        </w:rPr>
        <w:footnoteReference w:customMarkFollows="1" w:id="1"/>
        <w:t>*</w:t>
      </w:r>
    </w:p>
    <w:p w:rsidR="006126DA" w:rsidRPr="008B55B4" w:rsidRDefault="006126DA" w:rsidP="006126DA">
      <w:pPr>
        <w:pStyle w:val="SingleTxtGA"/>
        <w:rPr>
          <w:rtl/>
          <w:lang w:eastAsia="zh-TW"/>
        </w:rPr>
      </w:pPr>
      <w:r w:rsidRPr="00D1159D">
        <w:rPr>
          <w:spacing w:val="-2"/>
          <w:rtl/>
        </w:rPr>
        <w:t>١-</w:t>
      </w:r>
      <w:r w:rsidRPr="00D1159D">
        <w:rPr>
          <w:spacing w:val="-2"/>
          <w:rtl/>
        </w:rPr>
        <w:tab/>
      </w:r>
      <w:r w:rsidRPr="00D1159D">
        <w:rPr>
          <w:spacing w:val="-2"/>
          <w:rtl/>
          <w:lang w:eastAsia="zh-TW"/>
        </w:rPr>
        <w:t>نظرت اللجنة في التقرير الأولي للمغرب (</w:t>
      </w:r>
      <w:r w:rsidRPr="00D1159D">
        <w:rPr>
          <w:spacing w:val="-2"/>
          <w:lang w:eastAsia="zh-TW"/>
        </w:rPr>
        <w:t>CRC/C/OPAC/MAR/1</w:t>
      </w:r>
      <w:r w:rsidRPr="00D1159D">
        <w:rPr>
          <w:spacing w:val="-2"/>
          <w:rtl/>
          <w:lang w:eastAsia="zh-TW"/>
        </w:rPr>
        <w:t>) في جلستها 1908</w:t>
      </w:r>
      <w:r w:rsidRPr="008B55B4">
        <w:rPr>
          <w:rtl/>
          <w:lang w:eastAsia="zh-TW"/>
        </w:rPr>
        <w:t xml:space="preserve"> (انظر </w:t>
      </w:r>
      <w:r w:rsidRPr="008B55B4">
        <w:rPr>
          <w:lang w:eastAsia="zh-TW"/>
        </w:rPr>
        <w:t>CRC/C/SR.1908</w:t>
      </w:r>
      <w:r w:rsidRPr="008B55B4">
        <w:rPr>
          <w:rtl/>
          <w:lang w:eastAsia="zh-TW"/>
        </w:rPr>
        <w:t>)</w:t>
      </w:r>
      <w:r w:rsidR="003576E0">
        <w:rPr>
          <w:rFonts w:hint="cs"/>
          <w:rtl/>
          <w:lang w:eastAsia="zh-TW"/>
        </w:rPr>
        <w:t>،</w:t>
      </w:r>
      <w:r w:rsidRPr="008B55B4">
        <w:rPr>
          <w:rtl/>
          <w:lang w:eastAsia="zh-TW"/>
        </w:rPr>
        <w:t xml:space="preserve"> المعقودة في 4 أيلول/سبتمبر 2014، واعتمدت الملاحظات الختامية التالية في جلستها 1929 المعقودة في 19 أيلول/سبتمبر 2014. </w:t>
      </w:r>
    </w:p>
    <w:p w:rsidR="006126DA" w:rsidRPr="008B55B4" w:rsidRDefault="006126DA" w:rsidP="006126DA">
      <w:pPr>
        <w:pStyle w:val="HChGA"/>
        <w:rPr>
          <w:rtl/>
          <w:lang w:eastAsia="zh-TW"/>
        </w:rPr>
      </w:pPr>
      <w:r>
        <w:rPr>
          <w:rFonts w:hint="cs"/>
          <w:rtl/>
          <w:lang w:eastAsia="zh-TW"/>
        </w:rPr>
        <w:tab/>
      </w:r>
      <w:r w:rsidRPr="008B55B4">
        <w:rPr>
          <w:rtl/>
          <w:lang w:eastAsia="zh-TW"/>
        </w:rPr>
        <w:t>أولا</w:t>
      </w:r>
      <w:r>
        <w:rPr>
          <w:rFonts w:hint="cs"/>
          <w:rtl/>
          <w:lang w:eastAsia="zh-TW"/>
        </w:rPr>
        <w:t>ً</w:t>
      </w:r>
      <w:r w:rsidRPr="008B55B4">
        <w:rPr>
          <w:rtl/>
        </w:rPr>
        <w:t>-</w:t>
      </w:r>
      <w:r>
        <w:rPr>
          <w:rFonts w:hint="cs"/>
          <w:rtl/>
        </w:rPr>
        <w:tab/>
      </w:r>
      <w:r>
        <w:rPr>
          <w:rtl/>
          <w:lang w:eastAsia="zh-TW"/>
        </w:rPr>
        <w:t>مقدمة</w:t>
      </w:r>
    </w:p>
    <w:p w:rsidR="006126DA" w:rsidRPr="008B55B4" w:rsidRDefault="006126DA" w:rsidP="006126DA">
      <w:pPr>
        <w:pStyle w:val="SingleTxtGA"/>
        <w:rPr>
          <w:rtl/>
          <w:lang w:eastAsia="zh-TW"/>
        </w:rPr>
      </w:pPr>
      <w:r w:rsidRPr="008B55B4">
        <w:rPr>
          <w:rtl/>
        </w:rPr>
        <w:t>٢-</w:t>
      </w:r>
      <w:r w:rsidRPr="008B55B4">
        <w:rPr>
          <w:rtl/>
        </w:rPr>
        <w:tab/>
      </w:r>
      <w:r w:rsidRPr="008B55B4">
        <w:rPr>
          <w:rtl/>
          <w:lang w:eastAsia="zh-TW"/>
        </w:rPr>
        <w:t>ترحب اللجنة بتقديم الدولة الطرف تقريرها الأولي</w:t>
      </w:r>
      <w:r w:rsidR="00984817">
        <w:rPr>
          <w:rtl/>
          <w:lang w:eastAsia="zh-TW"/>
        </w:rPr>
        <w:t xml:space="preserve"> </w:t>
      </w:r>
      <w:r>
        <w:rPr>
          <w:rtl/>
          <w:lang w:eastAsia="zh-TW"/>
        </w:rPr>
        <w:t>و</w:t>
      </w:r>
      <w:r w:rsidRPr="008B55B4">
        <w:rPr>
          <w:rtl/>
          <w:lang w:eastAsia="zh-TW"/>
        </w:rPr>
        <w:t xml:space="preserve">ردودها </w:t>
      </w:r>
      <w:r>
        <w:rPr>
          <w:rtl/>
          <w:lang w:eastAsia="zh-TW"/>
        </w:rPr>
        <w:t>الخطية</w:t>
      </w:r>
      <w:r w:rsidRPr="008B55B4">
        <w:rPr>
          <w:rtl/>
          <w:lang w:eastAsia="zh-TW"/>
        </w:rPr>
        <w:t xml:space="preserve"> على قائمة المسائل </w:t>
      </w:r>
      <w:r w:rsidRPr="008B55B4">
        <w:rPr>
          <w:lang w:eastAsia="zh-TW"/>
        </w:rPr>
        <w:t>CRC/C/OPSC/MAR/Q/1/Add.1</w:t>
      </w:r>
      <w:r w:rsidRPr="00653A5B">
        <w:rPr>
          <w:sz w:val="30"/>
          <w:lang w:eastAsia="zh-TW"/>
        </w:rPr>
        <w:t>)</w:t>
      </w:r>
      <w:r>
        <w:rPr>
          <w:rtl/>
          <w:lang w:eastAsia="zh-TW"/>
        </w:rPr>
        <w:t>)،</w:t>
      </w:r>
      <w:r w:rsidRPr="008B55B4">
        <w:rPr>
          <w:rtl/>
          <w:lang w:eastAsia="zh-TW"/>
        </w:rPr>
        <w:t xml:space="preserve"> </w:t>
      </w:r>
      <w:r>
        <w:rPr>
          <w:rtl/>
          <w:lang w:eastAsia="zh-TW"/>
        </w:rPr>
        <w:t>وتعرب عن تقديرها ا</w:t>
      </w:r>
      <w:r w:rsidRPr="008B55B4">
        <w:rPr>
          <w:rtl/>
          <w:lang w:eastAsia="zh-TW"/>
        </w:rPr>
        <w:t xml:space="preserve">لحوار البنّاء مع وفد الدولة الطرف الرفيع المستوى والمتعدد القطاعات. </w:t>
      </w:r>
    </w:p>
    <w:p w:rsidR="006126DA" w:rsidRPr="008B55B4" w:rsidRDefault="006126DA" w:rsidP="006126DA">
      <w:pPr>
        <w:pStyle w:val="SingleTxtGA"/>
        <w:rPr>
          <w:rtl/>
          <w:lang w:eastAsia="zh-TW"/>
        </w:rPr>
      </w:pPr>
      <w:r w:rsidRPr="008B55B4">
        <w:rPr>
          <w:rtl/>
        </w:rPr>
        <w:t>٣-</w:t>
      </w:r>
      <w:r w:rsidRPr="008B55B4">
        <w:rPr>
          <w:rtl/>
        </w:rPr>
        <w:tab/>
      </w:r>
      <w:r w:rsidRPr="008B55B4">
        <w:rPr>
          <w:rtl/>
          <w:lang w:eastAsia="zh-TW"/>
        </w:rPr>
        <w:t>وتذكّر الدولة</w:t>
      </w:r>
      <w:r>
        <w:rPr>
          <w:rtl/>
          <w:lang w:eastAsia="zh-TW"/>
        </w:rPr>
        <w:t>َ</w:t>
      </w:r>
      <w:r w:rsidRPr="008B55B4">
        <w:rPr>
          <w:rtl/>
          <w:lang w:eastAsia="zh-TW"/>
        </w:rPr>
        <w:t xml:space="preserve"> الطرف بأن هذه الملاحظات الختامية ينبغي أن تُقرأ مقترنة</w:t>
      </w:r>
      <w:r>
        <w:rPr>
          <w:rtl/>
          <w:lang w:eastAsia="zh-TW"/>
        </w:rPr>
        <w:t>ً</w:t>
      </w:r>
      <w:r w:rsidRPr="008B55B4">
        <w:rPr>
          <w:rtl/>
          <w:lang w:eastAsia="zh-TW"/>
        </w:rPr>
        <w:t xml:space="preserve"> بالملاحظات الختامية على تقرير الدولة الطرف الجامع للتقريرين الثالث والرابع بموجب الاتفاقية (</w:t>
      </w:r>
      <w:r w:rsidRPr="008B55B4">
        <w:rPr>
          <w:lang w:eastAsia="zh-TW"/>
        </w:rPr>
        <w:t>CRC/C/MAR/CO/3-4</w:t>
      </w:r>
      <w:r w:rsidRPr="008B55B4">
        <w:rPr>
          <w:rtl/>
          <w:lang w:eastAsia="zh-TW"/>
        </w:rPr>
        <w:t xml:space="preserve">)، التي اعتمدتها اللجنة في 19 أيلول/سبتمبر 2014. </w:t>
      </w:r>
    </w:p>
    <w:p w:rsidR="006126DA" w:rsidRPr="00824926" w:rsidRDefault="00EE384F" w:rsidP="00EE384F">
      <w:pPr>
        <w:pStyle w:val="HChGA"/>
        <w:spacing w:before="240"/>
        <w:rPr>
          <w:rtl/>
          <w:lang w:eastAsia="zh-TW"/>
        </w:rPr>
      </w:pPr>
      <w:r>
        <w:rPr>
          <w:rFonts w:hint="cs"/>
          <w:rtl/>
          <w:lang w:eastAsia="zh-TW"/>
        </w:rPr>
        <w:lastRenderedPageBreak/>
        <w:tab/>
      </w:r>
      <w:r w:rsidR="006126DA" w:rsidRPr="00824926">
        <w:rPr>
          <w:rtl/>
          <w:lang w:eastAsia="zh-TW"/>
        </w:rPr>
        <w:t>ثانيا</w:t>
      </w:r>
      <w:r>
        <w:rPr>
          <w:rFonts w:hint="cs"/>
          <w:rtl/>
        </w:rPr>
        <w:t>ً</w:t>
      </w:r>
      <w:r w:rsidR="006126DA" w:rsidRPr="00824926">
        <w:rPr>
          <w:rtl/>
        </w:rPr>
        <w:t>-</w:t>
      </w:r>
      <w:r>
        <w:rPr>
          <w:rFonts w:hint="cs"/>
          <w:rtl/>
        </w:rPr>
        <w:tab/>
      </w:r>
      <w:r w:rsidR="006126DA" w:rsidRPr="00824926">
        <w:rPr>
          <w:rtl/>
          <w:lang w:eastAsia="zh-TW"/>
        </w:rPr>
        <w:t xml:space="preserve">ملاحظات عامة </w:t>
      </w:r>
    </w:p>
    <w:p w:rsidR="006126DA" w:rsidRPr="00824926" w:rsidRDefault="006126DA" w:rsidP="00436A0B">
      <w:pPr>
        <w:pStyle w:val="H1GA"/>
        <w:rPr>
          <w:rtl/>
          <w:lang w:eastAsia="zh-TW"/>
        </w:rPr>
      </w:pPr>
      <w:r w:rsidRPr="008B55B4">
        <w:rPr>
          <w:rtl/>
          <w:lang w:eastAsia="zh-TW"/>
        </w:rPr>
        <w:tab/>
      </w:r>
      <w:r w:rsidRPr="008B55B4">
        <w:rPr>
          <w:rtl/>
          <w:lang w:eastAsia="zh-TW"/>
        </w:rPr>
        <w:tab/>
      </w:r>
      <w:r w:rsidRPr="00824926">
        <w:rPr>
          <w:rtl/>
          <w:lang w:eastAsia="zh-TW"/>
        </w:rPr>
        <w:t>الجوانب الإيجابية</w:t>
      </w:r>
    </w:p>
    <w:p w:rsidR="006126DA" w:rsidRPr="008B55B4" w:rsidRDefault="006126DA" w:rsidP="00436A0B">
      <w:pPr>
        <w:pStyle w:val="SingleTxtGA"/>
        <w:rPr>
          <w:rtl/>
          <w:lang w:eastAsia="zh-TW"/>
        </w:rPr>
      </w:pPr>
      <w:r w:rsidRPr="008B55B4">
        <w:rPr>
          <w:rtl/>
        </w:rPr>
        <w:t>٤-</w:t>
      </w:r>
      <w:r w:rsidRPr="008B55B4">
        <w:rPr>
          <w:rtl/>
        </w:rPr>
        <w:tab/>
      </w:r>
      <w:r w:rsidRPr="008B55B4">
        <w:rPr>
          <w:rtl/>
          <w:lang w:eastAsia="zh-TW"/>
        </w:rPr>
        <w:t xml:space="preserve">ترحّب اللجنة بالتدابير الإيجابية التي اتُخذت في مجالات متصلة بتنفيذ البروتوكول الاختياري، وعلى وجه الخصوص: </w:t>
      </w:r>
    </w:p>
    <w:p w:rsidR="006126DA" w:rsidRPr="008B55B4" w:rsidRDefault="00D1159D" w:rsidP="00436A0B">
      <w:pPr>
        <w:pStyle w:val="SingleTxtGA"/>
        <w:rPr>
          <w:rtl/>
          <w:lang w:eastAsia="zh-TW"/>
        </w:rPr>
      </w:pPr>
      <w:r>
        <w:rPr>
          <w:rFonts w:hint="cs"/>
          <w:rtl/>
        </w:rPr>
        <w:tab/>
      </w:r>
      <w:r w:rsidR="006126DA" w:rsidRPr="008B55B4">
        <w:rPr>
          <w:rtl/>
        </w:rPr>
        <w:t>(أ)</w:t>
      </w:r>
      <w:r w:rsidR="006126DA" w:rsidRPr="008B55B4">
        <w:rPr>
          <w:rtl/>
        </w:rPr>
        <w:tab/>
      </w:r>
      <w:r w:rsidR="006126DA" w:rsidRPr="008B55B4">
        <w:rPr>
          <w:rtl/>
          <w:lang w:eastAsia="zh-TW"/>
        </w:rPr>
        <w:t xml:space="preserve">الموافقة على </w:t>
      </w:r>
      <w:r w:rsidR="006126DA">
        <w:rPr>
          <w:rtl/>
          <w:lang w:eastAsia="zh-TW"/>
        </w:rPr>
        <w:t>ا</w:t>
      </w:r>
      <w:r w:rsidR="006126DA" w:rsidRPr="008B55B4">
        <w:rPr>
          <w:rtl/>
          <w:lang w:eastAsia="zh-TW"/>
        </w:rPr>
        <w:t>لتزامات باريس لحماية الأطفال المجندين أو المستخدمين بصورة غير مشروعة من جانب قوات أو جماعات مسلحة، وكذلك القواعد والمبادئ التوجيهية بشأن الأطفال المرتبطين بالقوات المسلحة أو الجماعات المسلحة؛</w:t>
      </w:r>
    </w:p>
    <w:p w:rsidR="006126DA" w:rsidRPr="008B55B4" w:rsidRDefault="00D1159D" w:rsidP="00436A0B">
      <w:pPr>
        <w:pStyle w:val="SingleTxtGA"/>
        <w:rPr>
          <w:rtl/>
          <w:lang w:eastAsia="zh-TW"/>
        </w:rPr>
      </w:pPr>
      <w:r>
        <w:rPr>
          <w:rFonts w:hint="cs"/>
          <w:rtl/>
        </w:rPr>
        <w:tab/>
      </w:r>
      <w:r w:rsidR="006126DA" w:rsidRPr="008B55B4">
        <w:rPr>
          <w:rtl/>
        </w:rPr>
        <w:t>(ب)</w:t>
      </w:r>
      <w:r w:rsidR="006126DA" w:rsidRPr="008B55B4">
        <w:rPr>
          <w:rtl/>
        </w:rPr>
        <w:tab/>
      </w:r>
      <w:r w:rsidR="006126DA" w:rsidRPr="008B55B4">
        <w:rPr>
          <w:rtl/>
          <w:lang w:eastAsia="zh-TW"/>
        </w:rPr>
        <w:t xml:space="preserve">الجهود الكبيرة التي بذلتها الدولة الطرف لإزالة الألغام من الصحراء الغربية؛ </w:t>
      </w:r>
    </w:p>
    <w:p w:rsidR="006126DA" w:rsidRPr="008B55B4" w:rsidRDefault="00D1159D" w:rsidP="00436A0B">
      <w:pPr>
        <w:pStyle w:val="SingleTxtGA"/>
        <w:rPr>
          <w:rtl/>
          <w:lang w:eastAsia="zh-TW"/>
        </w:rPr>
      </w:pPr>
      <w:r>
        <w:rPr>
          <w:rFonts w:hint="cs"/>
          <w:rtl/>
        </w:rPr>
        <w:tab/>
      </w:r>
      <w:r w:rsidR="006126DA" w:rsidRPr="008B55B4">
        <w:rPr>
          <w:rtl/>
        </w:rPr>
        <w:t>(ج)</w:t>
      </w:r>
      <w:r w:rsidR="006126DA" w:rsidRPr="008B55B4">
        <w:rPr>
          <w:rtl/>
        </w:rPr>
        <w:tab/>
      </w:r>
      <w:r w:rsidR="006126DA" w:rsidRPr="008B55B4">
        <w:rPr>
          <w:rtl/>
          <w:lang w:eastAsia="zh-TW"/>
        </w:rPr>
        <w:t>الدعم الذي عبرت عنه لولاية الممثلة الخاصة للأمين العام ا</w:t>
      </w:r>
      <w:r w:rsidR="00B12F95">
        <w:rPr>
          <w:rtl/>
          <w:lang w:eastAsia="zh-TW"/>
        </w:rPr>
        <w:t>لمعنية بالأطفال والنزاع المسلح</w:t>
      </w:r>
      <w:r w:rsidR="00B12F95">
        <w:rPr>
          <w:rFonts w:hint="cs"/>
          <w:rtl/>
          <w:lang w:eastAsia="zh-TW"/>
        </w:rPr>
        <w:t>.</w:t>
      </w:r>
    </w:p>
    <w:p w:rsidR="006126DA" w:rsidRPr="00820910" w:rsidRDefault="00D1159D" w:rsidP="00436A0B">
      <w:pPr>
        <w:pStyle w:val="HChGA"/>
        <w:rPr>
          <w:rtl/>
          <w:lang w:eastAsia="zh-TW"/>
        </w:rPr>
      </w:pPr>
      <w:r>
        <w:rPr>
          <w:rFonts w:hint="cs"/>
          <w:rtl/>
          <w:lang w:eastAsia="zh-TW"/>
        </w:rPr>
        <w:tab/>
      </w:r>
      <w:r w:rsidR="006126DA" w:rsidRPr="00820910">
        <w:rPr>
          <w:rtl/>
          <w:lang w:eastAsia="zh-TW"/>
        </w:rPr>
        <w:t>ثالثا</w:t>
      </w:r>
      <w:r>
        <w:rPr>
          <w:rFonts w:hint="cs"/>
          <w:rtl/>
          <w:lang w:eastAsia="zh-TW"/>
        </w:rPr>
        <w:t>ً</w:t>
      </w:r>
      <w:r w:rsidR="006126DA" w:rsidRPr="00820910">
        <w:rPr>
          <w:rtl/>
        </w:rPr>
        <w:t>-</w:t>
      </w:r>
      <w:r>
        <w:rPr>
          <w:rFonts w:hint="cs"/>
          <w:rtl/>
        </w:rPr>
        <w:tab/>
      </w:r>
      <w:r w:rsidR="006126DA" w:rsidRPr="00820910">
        <w:rPr>
          <w:rtl/>
          <w:lang w:eastAsia="zh-TW"/>
        </w:rPr>
        <w:t xml:space="preserve">تدابير التنفيذ العامة </w:t>
      </w:r>
    </w:p>
    <w:p w:rsidR="006126DA" w:rsidRPr="00820910" w:rsidRDefault="006126DA" w:rsidP="00436A0B">
      <w:pPr>
        <w:pStyle w:val="H1GA"/>
        <w:rPr>
          <w:rtl/>
          <w:lang w:eastAsia="zh-TW"/>
        </w:rPr>
      </w:pPr>
      <w:r w:rsidRPr="008B55B4">
        <w:rPr>
          <w:rtl/>
          <w:lang w:eastAsia="zh-TW"/>
        </w:rPr>
        <w:tab/>
      </w:r>
      <w:r w:rsidRPr="008B55B4">
        <w:rPr>
          <w:rtl/>
          <w:lang w:eastAsia="zh-TW"/>
        </w:rPr>
        <w:tab/>
      </w:r>
      <w:r>
        <w:rPr>
          <w:rtl/>
          <w:lang w:eastAsia="zh-TW"/>
        </w:rPr>
        <w:t>التنسيق</w:t>
      </w:r>
    </w:p>
    <w:p w:rsidR="006126DA" w:rsidRPr="008B55B4" w:rsidRDefault="006126DA" w:rsidP="00436A0B">
      <w:pPr>
        <w:pStyle w:val="SingleTxtGA"/>
        <w:rPr>
          <w:rtl/>
          <w:lang w:eastAsia="zh-TW"/>
        </w:rPr>
      </w:pPr>
      <w:r w:rsidRPr="008B55B4">
        <w:rPr>
          <w:rtl/>
        </w:rPr>
        <w:t>٥-</w:t>
      </w:r>
      <w:r w:rsidRPr="008B55B4">
        <w:rPr>
          <w:rtl/>
        </w:rPr>
        <w:tab/>
      </w:r>
      <w:r w:rsidRPr="008B55B4">
        <w:rPr>
          <w:rtl/>
          <w:lang w:eastAsia="zh-TW"/>
        </w:rPr>
        <w:t xml:space="preserve">تعرب اللجنة عن قلقها إزاء عدم وجود هيئة توكل لها مهمة تنسيق تنفيذ البروتوكول الاختياري تنفيذاً شاملاً وفعالاً في مختلف أنحاء الدولة الطرف. </w:t>
      </w:r>
    </w:p>
    <w:p w:rsidR="006126DA" w:rsidRPr="00436A0B" w:rsidRDefault="006126DA" w:rsidP="00436A0B">
      <w:pPr>
        <w:pStyle w:val="SingleTxtGA"/>
        <w:rPr>
          <w:b/>
          <w:bCs/>
          <w:rtl/>
          <w:lang w:eastAsia="zh-TW"/>
        </w:rPr>
      </w:pPr>
      <w:r w:rsidRPr="00820910">
        <w:rPr>
          <w:rtl/>
        </w:rPr>
        <w:t>٦-</w:t>
      </w:r>
      <w:r w:rsidRPr="00820910">
        <w:rPr>
          <w:rtl/>
        </w:rPr>
        <w:tab/>
      </w:r>
      <w:r w:rsidRPr="00436A0B">
        <w:rPr>
          <w:b/>
          <w:bCs/>
          <w:rtl/>
          <w:lang w:eastAsia="zh-TW"/>
        </w:rPr>
        <w:t>تحث اللجنة الدولة الطرف على تعيين كيان حكومي يُكلف بالمسؤولية الكلية عن تنفيذ البروتوكول الاختياري، وعلى إنشاء آلية مؤسسية للتنسيق</w:t>
      </w:r>
      <w:r w:rsidR="00984817">
        <w:rPr>
          <w:b/>
          <w:bCs/>
          <w:rtl/>
          <w:lang w:eastAsia="zh-TW"/>
        </w:rPr>
        <w:t xml:space="preserve"> </w:t>
      </w:r>
      <w:r w:rsidRPr="00436A0B">
        <w:rPr>
          <w:b/>
          <w:bCs/>
          <w:rtl/>
          <w:lang w:eastAsia="zh-TW"/>
        </w:rPr>
        <w:t>الفعلي بين أنشطة الوزارات وغيرها من الكيانات الحكومية وشركاء التنفيذ.</w:t>
      </w:r>
    </w:p>
    <w:p w:rsidR="006126DA" w:rsidRPr="00820910" w:rsidRDefault="006126DA" w:rsidP="00436A0B">
      <w:pPr>
        <w:pStyle w:val="H1GA"/>
        <w:rPr>
          <w:rtl/>
          <w:lang w:eastAsia="zh-TW"/>
        </w:rPr>
      </w:pPr>
      <w:r w:rsidRPr="003E3610">
        <w:rPr>
          <w:rFonts w:ascii="Times" w:hAnsi="Times" w:cs="Times"/>
          <w:rtl/>
          <w:lang w:eastAsia="zh-TW"/>
        </w:rPr>
        <w:tab/>
      </w:r>
      <w:r w:rsidRPr="003E3610">
        <w:rPr>
          <w:rFonts w:ascii="Times" w:hAnsi="Times" w:cs="Times"/>
          <w:rtl/>
          <w:lang w:eastAsia="zh-TW"/>
        </w:rPr>
        <w:tab/>
      </w:r>
      <w:r w:rsidRPr="00820910">
        <w:rPr>
          <w:rtl/>
          <w:lang w:eastAsia="zh-TW"/>
        </w:rPr>
        <w:t>تخصيص الموارد</w:t>
      </w:r>
    </w:p>
    <w:p w:rsidR="006126DA" w:rsidRPr="008B55B4" w:rsidRDefault="006126DA" w:rsidP="00436A0B">
      <w:pPr>
        <w:pStyle w:val="SingleTxtGA"/>
        <w:rPr>
          <w:rtl/>
          <w:lang w:eastAsia="zh-TW"/>
        </w:rPr>
      </w:pPr>
      <w:r w:rsidRPr="008B55B4">
        <w:rPr>
          <w:rtl/>
        </w:rPr>
        <w:t>٧-</w:t>
      </w:r>
      <w:r w:rsidRPr="008B55B4">
        <w:rPr>
          <w:rtl/>
        </w:rPr>
        <w:tab/>
      </w:r>
      <w:r w:rsidRPr="008B55B4">
        <w:rPr>
          <w:rtl/>
          <w:lang w:eastAsia="zh-TW"/>
        </w:rPr>
        <w:t>تشعر اللجنة بالقلق من عدم وجود معلومات عن</w:t>
      </w:r>
      <w:r w:rsidR="00984817">
        <w:rPr>
          <w:rtl/>
          <w:lang w:eastAsia="zh-TW"/>
        </w:rPr>
        <w:t xml:space="preserve"> </w:t>
      </w:r>
      <w:r w:rsidRPr="008B55B4">
        <w:rPr>
          <w:rtl/>
          <w:lang w:eastAsia="zh-TW"/>
        </w:rPr>
        <w:t xml:space="preserve">موارد </w:t>
      </w:r>
      <w:r>
        <w:rPr>
          <w:rtl/>
          <w:lang w:eastAsia="zh-TW"/>
        </w:rPr>
        <w:t xml:space="preserve">الميزانية </w:t>
      </w:r>
      <w:r w:rsidRPr="008B55B4">
        <w:rPr>
          <w:rtl/>
          <w:lang w:eastAsia="zh-TW"/>
        </w:rPr>
        <w:t xml:space="preserve">المخصصة لتنفيذ البروتوكول الاختياري. </w:t>
      </w:r>
    </w:p>
    <w:p w:rsidR="006126DA" w:rsidRPr="00436A0B" w:rsidRDefault="006126DA" w:rsidP="00436A0B">
      <w:pPr>
        <w:pStyle w:val="SingleTxtGA"/>
        <w:rPr>
          <w:b/>
          <w:bCs/>
          <w:rtl/>
          <w:lang w:eastAsia="zh-TW"/>
        </w:rPr>
      </w:pPr>
      <w:r w:rsidRPr="00820910">
        <w:rPr>
          <w:rtl/>
        </w:rPr>
        <w:t>٨-</w:t>
      </w:r>
      <w:r w:rsidRPr="00820910">
        <w:rPr>
          <w:rtl/>
        </w:rPr>
        <w:tab/>
      </w:r>
      <w:r w:rsidRPr="00436A0B">
        <w:rPr>
          <w:b/>
          <w:bCs/>
          <w:rtl/>
          <w:lang w:eastAsia="zh-TW"/>
        </w:rPr>
        <w:t>توصي اللجنة الدولة الطرف بأن ترصد تحديدا</w:t>
      </w:r>
      <w:r w:rsidR="00D9660D">
        <w:rPr>
          <w:rFonts w:hint="cs"/>
          <w:b/>
          <w:bCs/>
          <w:rtl/>
          <w:lang w:eastAsia="zh-TW"/>
        </w:rPr>
        <w:t>ً</w:t>
      </w:r>
      <w:r w:rsidRPr="00436A0B">
        <w:rPr>
          <w:b/>
          <w:bCs/>
          <w:rtl/>
          <w:lang w:eastAsia="zh-TW"/>
        </w:rPr>
        <w:t xml:space="preserve"> </w:t>
      </w:r>
      <w:r w:rsidR="00BC3058">
        <w:rPr>
          <w:rFonts w:hint="cs"/>
          <w:b/>
          <w:bCs/>
          <w:rtl/>
          <w:lang w:eastAsia="zh-TW"/>
        </w:rPr>
        <w:t>ال</w:t>
      </w:r>
      <w:r w:rsidRPr="00436A0B">
        <w:rPr>
          <w:b/>
          <w:bCs/>
          <w:rtl/>
          <w:lang w:eastAsia="zh-TW"/>
        </w:rPr>
        <w:t>مخصصات</w:t>
      </w:r>
      <w:r w:rsidR="00984817">
        <w:rPr>
          <w:b/>
          <w:bCs/>
          <w:rtl/>
          <w:lang w:eastAsia="zh-TW"/>
        </w:rPr>
        <w:t xml:space="preserve"> </w:t>
      </w:r>
      <w:r w:rsidRPr="00436A0B">
        <w:rPr>
          <w:b/>
          <w:bCs/>
          <w:rtl/>
          <w:lang w:eastAsia="zh-TW"/>
        </w:rPr>
        <w:t xml:space="preserve">الكافية من الميزانية لتنفيذ البروتوكول الاختياري. </w:t>
      </w:r>
    </w:p>
    <w:p w:rsidR="006126DA" w:rsidRPr="00820910" w:rsidRDefault="006126DA" w:rsidP="001E1922">
      <w:pPr>
        <w:pStyle w:val="H1GA"/>
        <w:rPr>
          <w:rtl/>
          <w:lang w:eastAsia="zh-TW"/>
        </w:rPr>
      </w:pPr>
      <w:r w:rsidRPr="008B55B4">
        <w:rPr>
          <w:rtl/>
          <w:lang w:eastAsia="zh-TW"/>
        </w:rPr>
        <w:lastRenderedPageBreak/>
        <w:tab/>
      </w:r>
      <w:r w:rsidRPr="008B55B4">
        <w:rPr>
          <w:rtl/>
          <w:lang w:eastAsia="zh-TW"/>
        </w:rPr>
        <w:tab/>
      </w:r>
      <w:r w:rsidRPr="00820910">
        <w:rPr>
          <w:rtl/>
          <w:lang w:eastAsia="zh-TW"/>
        </w:rPr>
        <w:t>النشر والتوعية</w:t>
      </w:r>
    </w:p>
    <w:p w:rsidR="006126DA" w:rsidRPr="008B55B4" w:rsidRDefault="006126DA" w:rsidP="00B12F95">
      <w:pPr>
        <w:pStyle w:val="SingleTxtGA"/>
        <w:rPr>
          <w:rtl/>
          <w:lang w:eastAsia="zh-TW"/>
        </w:rPr>
      </w:pPr>
      <w:r w:rsidRPr="008B55B4">
        <w:rPr>
          <w:rtl/>
        </w:rPr>
        <w:t>٩-</w:t>
      </w:r>
      <w:r w:rsidRPr="008B55B4">
        <w:rPr>
          <w:rtl/>
        </w:rPr>
        <w:tab/>
      </w:r>
      <w:r w:rsidRPr="008B55B4">
        <w:rPr>
          <w:rtl/>
          <w:lang w:eastAsia="zh-TW"/>
        </w:rPr>
        <w:t xml:space="preserve">تلاحظ اللجنة أن البروتوكول الاختياري نشر في الجريدة الرسمية وأن وزارة التربية الوطنية </w:t>
      </w:r>
      <w:r>
        <w:rPr>
          <w:rtl/>
          <w:lang w:eastAsia="zh-TW"/>
        </w:rPr>
        <w:t>سعت إلى</w:t>
      </w:r>
      <w:r w:rsidRPr="008B55B4">
        <w:rPr>
          <w:rtl/>
          <w:lang w:eastAsia="zh-TW"/>
        </w:rPr>
        <w:t xml:space="preserve"> إدراجه في البرامج التعليمية، لكنها تعرب ع</w:t>
      </w:r>
      <w:r>
        <w:rPr>
          <w:rtl/>
          <w:lang w:eastAsia="zh-TW"/>
        </w:rPr>
        <w:t>ن أسفها لأن هذه التدابير لا تكفي لرفع مستوى</w:t>
      </w:r>
      <w:r w:rsidRPr="008B55B4">
        <w:rPr>
          <w:rtl/>
          <w:lang w:eastAsia="zh-TW"/>
        </w:rPr>
        <w:t xml:space="preserve"> الوعي بمبادئ البروتوكول الاختياري وأحكامه. </w:t>
      </w:r>
    </w:p>
    <w:p w:rsidR="006126DA" w:rsidRPr="00B12F95" w:rsidRDefault="006126DA" w:rsidP="00B12F95">
      <w:pPr>
        <w:pStyle w:val="SingleTxtGA"/>
        <w:rPr>
          <w:b/>
          <w:bCs/>
          <w:rtl/>
          <w:lang w:eastAsia="zh-TW"/>
        </w:rPr>
      </w:pPr>
      <w:r w:rsidRPr="00820910">
        <w:rPr>
          <w:rtl/>
        </w:rPr>
        <w:t>١٠-</w:t>
      </w:r>
      <w:r w:rsidRPr="00820910">
        <w:rPr>
          <w:rtl/>
        </w:rPr>
        <w:tab/>
      </w:r>
      <w:r w:rsidRPr="00B12F95">
        <w:rPr>
          <w:b/>
          <w:bCs/>
          <w:rtl/>
          <w:lang w:eastAsia="zh-TW"/>
        </w:rPr>
        <w:t xml:space="preserve">توصي اللجنة الدولة الطرف بأن تعمل على إذاعة مبادئ البروتوكول الاختياري وأحكامه بين عامة الناس، والأطفال وأسرهم. </w:t>
      </w:r>
    </w:p>
    <w:p w:rsidR="006126DA" w:rsidRPr="00820910" w:rsidRDefault="006126DA" w:rsidP="00BC3058">
      <w:pPr>
        <w:pStyle w:val="H1GA"/>
        <w:spacing w:before="120"/>
        <w:rPr>
          <w:rtl/>
          <w:lang w:eastAsia="zh-TW"/>
        </w:rPr>
      </w:pPr>
      <w:r w:rsidRPr="00820910">
        <w:rPr>
          <w:rtl/>
          <w:lang w:eastAsia="zh-TW"/>
        </w:rPr>
        <w:tab/>
      </w:r>
      <w:r w:rsidRPr="00820910">
        <w:rPr>
          <w:rtl/>
          <w:lang w:eastAsia="zh-TW"/>
        </w:rPr>
        <w:tab/>
      </w:r>
      <w:r>
        <w:rPr>
          <w:rtl/>
          <w:lang w:eastAsia="zh-TW"/>
        </w:rPr>
        <w:t>ال</w:t>
      </w:r>
      <w:r w:rsidRPr="00820910">
        <w:rPr>
          <w:rtl/>
          <w:lang w:eastAsia="zh-TW"/>
        </w:rPr>
        <w:t>تدريب</w:t>
      </w:r>
    </w:p>
    <w:p w:rsidR="006126DA" w:rsidRPr="008B55B4" w:rsidRDefault="006126DA" w:rsidP="00B12F95">
      <w:pPr>
        <w:pStyle w:val="SingleTxtGA"/>
        <w:rPr>
          <w:rtl/>
          <w:lang w:eastAsia="zh-TW"/>
        </w:rPr>
      </w:pPr>
      <w:r w:rsidRPr="008B55B4">
        <w:rPr>
          <w:rtl/>
        </w:rPr>
        <w:t>١١-</w:t>
      </w:r>
      <w:r w:rsidRPr="008B55B4">
        <w:rPr>
          <w:rtl/>
        </w:rPr>
        <w:tab/>
      </w:r>
      <w:r w:rsidRPr="008B55B4">
        <w:rPr>
          <w:rtl/>
          <w:lang w:eastAsia="zh-TW"/>
        </w:rPr>
        <w:t>ترحب</w:t>
      </w:r>
      <w:r>
        <w:rPr>
          <w:rtl/>
          <w:lang w:eastAsia="zh-TW"/>
        </w:rPr>
        <w:t xml:space="preserve"> اللجنة</w:t>
      </w:r>
      <w:r w:rsidRPr="008B55B4">
        <w:rPr>
          <w:rtl/>
          <w:lang w:eastAsia="zh-TW"/>
        </w:rPr>
        <w:t xml:space="preserve"> بالتدابير المتخذة من أجل وضع برامج تدريبية </w:t>
      </w:r>
      <w:r>
        <w:rPr>
          <w:rtl/>
          <w:lang w:eastAsia="zh-TW"/>
        </w:rPr>
        <w:t>على</w:t>
      </w:r>
      <w:r w:rsidRPr="008B55B4">
        <w:rPr>
          <w:rtl/>
          <w:lang w:eastAsia="zh-TW"/>
        </w:rPr>
        <w:t xml:space="preserve"> القانون الدولي الإنساني لفائدة </w:t>
      </w:r>
      <w:r>
        <w:rPr>
          <w:rtl/>
          <w:lang w:eastAsia="zh-TW"/>
        </w:rPr>
        <w:t xml:space="preserve">أفراد </w:t>
      </w:r>
      <w:r w:rsidRPr="008B55B4">
        <w:rPr>
          <w:rtl/>
          <w:lang w:eastAsia="zh-TW"/>
        </w:rPr>
        <w:t>قوات</w:t>
      </w:r>
      <w:r>
        <w:rPr>
          <w:rtl/>
          <w:lang w:eastAsia="zh-TW"/>
        </w:rPr>
        <w:t>ها</w:t>
      </w:r>
      <w:r w:rsidRPr="008B55B4">
        <w:rPr>
          <w:rtl/>
          <w:lang w:eastAsia="zh-TW"/>
        </w:rPr>
        <w:t xml:space="preserve"> المسلحة، بمن فيهم المشاركون في عمليات حفظ السلام</w:t>
      </w:r>
      <w:r>
        <w:rPr>
          <w:rtl/>
          <w:lang w:eastAsia="zh-TW"/>
        </w:rPr>
        <w:t>، لكنها</w:t>
      </w:r>
      <w:r w:rsidRPr="008B55B4">
        <w:rPr>
          <w:rtl/>
          <w:lang w:eastAsia="zh-TW"/>
        </w:rPr>
        <w:t xml:space="preserve"> تشعر بالقلق لأن أحكام البروتوكول الاختياري غير مدرجة في برامج التدريب ولأن فئات مهنية أخرى</w:t>
      </w:r>
      <w:r>
        <w:rPr>
          <w:rtl/>
          <w:lang w:eastAsia="zh-TW"/>
        </w:rPr>
        <w:t xml:space="preserve"> معنية</w:t>
      </w:r>
      <w:r w:rsidRPr="008B55B4">
        <w:rPr>
          <w:rtl/>
          <w:lang w:eastAsia="zh-TW"/>
        </w:rPr>
        <w:t xml:space="preserve"> لا تتلقى تدريبا</w:t>
      </w:r>
      <w:r w:rsidR="00BC3058">
        <w:rPr>
          <w:rFonts w:hint="cs"/>
          <w:rtl/>
          <w:lang w:eastAsia="zh-TW"/>
        </w:rPr>
        <w:t>ً</w:t>
      </w:r>
      <w:r w:rsidRPr="008B55B4">
        <w:rPr>
          <w:rtl/>
          <w:lang w:eastAsia="zh-TW"/>
        </w:rPr>
        <w:t xml:space="preserve"> كافيا</w:t>
      </w:r>
      <w:r w:rsidR="00BC3058">
        <w:rPr>
          <w:rFonts w:hint="cs"/>
          <w:rtl/>
          <w:lang w:eastAsia="zh-TW"/>
        </w:rPr>
        <w:t>ً</w:t>
      </w:r>
      <w:r w:rsidRPr="008B55B4">
        <w:rPr>
          <w:rtl/>
          <w:lang w:eastAsia="zh-TW"/>
        </w:rPr>
        <w:t xml:space="preserve"> على البروتوكول الاختياري. </w:t>
      </w:r>
    </w:p>
    <w:p w:rsidR="006126DA" w:rsidRPr="00B12F95" w:rsidRDefault="006126DA" w:rsidP="00B12F95">
      <w:pPr>
        <w:pStyle w:val="SingleTxtGA"/>
        <w:rPr>
          <w:b/>
          <w:bCs/>
          <w:rtl/>
          <w:lang w:eastAsia="zh-TW"/>
        </w:rPr>
      </w:pPr>
      <w:r w:rsidRPr="00820910">
        <w:rPr>
          <w:rtl/>
        </w:rPr>
        <w:t>١٢-</w:t>
      </w:r>
      <w:r w:rsidRPr="00820910">
        <w:rPr>
          <w:rtl/>
        </w:rPr>
        <w:tab/>
      </w:r>
      <w:r w:rsidRPr="00B12F95">
        <w:rPr>
          <w:b/>
          <w:bCs/>
          <w:rtl/>
          <w:lang w:eastAsia="zh-TW"/>
        </w:rPr>
        <w:t xml:space="preserve">توصي اللجنة بتوفير تدريب على أحكام البروتوكول الاختياري للمهنيين المعنيين بالأطفال، ولا سيما المعلمين وسلطات الهجرة وأفراد قوات حفظ السلام الدولية والشرطة والمحامين والقضاة والعاملين في المهن الطبية والأخصائيين الاجتماعيين والصحفيين. </w:t>
      </w:r>
    </w:p>
    <w:p w:rsidR="006126DA" w:rsidRPr="00820910" w:rsidRDefault="006126DA" w:rsidP="00D1159D">
      <w:pPr>
        <w:pStyle w:val="H1GA"/>
        <w:rPr>
          <w:rtl/>
          <w:lang w:eastAsia="zh-TW"/>
        </w:rPr>
      </w:pPr>
      <w:r w:rsidRPr="00820910">
        <w:rPr>
          <w:rtl/>
          <w:lang w:eastAsia="zh-TW"/>
        </w:rPr>
        <w:tab/>
      </w:r>
      <w:r w:rsidRPr="00820910">
        <w:rPr>
          <w:rtl/>
          <w:lang w:eastAsia="zh-TW"/>
        </w:rPr>
        <w:tab/>
        <w:t>البيانات</w:t>
      </w:r>
    </w:p>
    <w:p w:rsidR="006126DA" w:rsidRPr="008B55B4" w:rsidRDefault="006126DA" w:rsidP="00B12F95">
      <w:pPr>
        <w:pStyle w:val="SingleTxtGA"/>
        <w:rPr>
          <w:rtl/>
          <w:lang w:eastAsia="zh-TW"/>
        </w:rPr>
      </w:pPr>
      <w:r w:rsidRPr="008B55B4">
        <w:rPr>
          <w:rtl/>
        </w:rPr>
        <w:t>١٣-</w:t>
      </w:r>
      <w:r w:rsidRPr="008B55B4">
        <w:rPr>
          <w:rtl/>
        </w:rPr>
        <w:tab/>
      </w:r>
      <w:r w:rsidRPr="008B55B4">
        <w:rPr>
          <w:rtl/>
          <w:lang w:eastAsia="zh-TW"/>
        </w:rPr>
        <w:t>بالنظر إلى وجود أطفال لاجئين في الدولة الطرف من الدول المتضررة من الصراعات المسلحة، تشعر اللجنة بالقلق إزاء عدم وجود نظام يحدد ويسجل بسرعة الأطفال الذين ربما جُنّدوا للمشاركة في صراعات مسلحة في الخارج أو</w:t>
      </w:r>
      <w:r w:rsidR="00984817">
        <w:rPr>
          <w:rtl/>
          <w:lang w:eastAsia="zh-TW"/>
        </w:rPr>
        <w:t xml:space="preserve"> </w:t>
      </w:r>
      <w:r>
        <w:rPr>
          <w:rtl/>
          <w:lang w:eastAsia="zh-TW"/>
        </w:rPr>
        <w:t>ال</w:t>
      </w:r>
      <w:r w:rsidRPr="008B55B4">
        <w:rPr>
          <w:rtl/>
          <w:lang w:eastAsia="zh-TW"/>
        </w:rPr>
        <w:t xml:space="preserve">معرضون لخطر ذلك التجنيد. </w:t>
      </w:r>
    </w:p>
    <w:p w:rsidR="006126DA" w:rsidRPr="00B12F95" w:rsidRDefault="006126DA" w:rsidP="00B12F95">
      <w:pPr>
        <w:pStyle w:val="SingleTxtGA"/>
        <w:rPr>
          <w:b/>
          <w:bCs/>
          <w:rtl/>
          <w:lang w:eastAsia="zh-TW"/>
        </w:rPr>
      </w:pPr>
      <w:r w:rsidRPr="00820910">
        <w:rPr>
          <w:rtl/>
        </w:rPr>
        <w:t>١٤-</w:t>
      </w:r>
      <w:r w:rsidRPr="00820910">
        <w:rPr>
          <w:rtl/>
        </w:rPr>
        <w:tab/>
      </w:r>
      <w:r w:rsidRPr="00B12F95">
        <w:rPr>
          <w:b/>
          <w:bCs/>
          <w:rtl/>
          <w:lang w:eastAsia="zh-TW"/>
        </w:rPr>
        <w:t>توصي اللجنة الدولة الطرف بأن تنشئ نظاماً مركزياً لجمع البيانات قصد تسجيل وتحديد هوية جميع الأطفال الخاضعين لولايتها الذين يُحتمل أن يكونوا جُندوا أو استُخدموا في الاقتتال في الخارج. وتوصيها أيضاً بأن تضمن جمع البيانات الخاصة بالأطفال اللاجئين وملتمسي اللجوء ضحايا تلك الممارسات جمعا</w:t>
      </w:r>
      <w:r w:rsidR="00B12F95">
        <w:rPr>
          <w:rFonts w:hint="cs"/>
          <w:b/>
          <w:bCs/>
          <w:rtl/>
          <w:lang w:eastAsia="zh-TW"/>
        </w:rPr>
        <w:t>ً</w:t>
      </w:r>
      <w:r w:rsidRPr="00B12F95">
        <w:rPr>
          <w:b/>
          <w:bCs/>
          <w:rtl/>
          <w:lang w:eastAsia="zh-TW"/>
        </w:rPr>
        <w:t xml:space="preserve"> صحيحا</w:t>
      </w:r>
      <w:r w:rsidR="00B12F95">
        <w:rPr>
          <w:rFonts w:hint="cs"/>
          <w:b/>
          <w:bCs/>
          <w:rtl/>
          <w:lang w:eastAsia="zh-TW"/>
        </w:rPr>
        <w:t>ً</w:t>
      </w:r>
      <w:r w:rsidRPr="00B12F95">
        <w:rPr>
          <w:b/>
          <w:bCs/>
          <w:rtl/>
          <w:lang w:eastAsia="zh-TW"/>
        </w:rPr>
        <w:t>. وينبغي تصنيف كل البيانات على أسس منها الجنس والسن والجنسية والأصل الإثني والبيئة الاجتماعية</w:t>
      </w:r>
      <w:r w:rsidR="00BB060F">
        <w:rPr>
          <w:rFonts w:hint="cs"/>
          <w:b/>
          <w:bCs/>
          <w:rtl/>
          <w:lang w:eastAsia="zh-TW"/>
        </w:rPr>
        <w:t xml:space="preserve"> </w:t>
      </w:r>
      <w:r w:rsidRPr="00B12F95">
        <w:rPr>
          <w:b/>
          <w:bCs/>
          <w:rtl/>
          <w:lang w:eastAsia="zh-TW"/>
        </w:rPr>
        <w:t>-</w:t>
      </w:r>
      <w:r w:rsidR="00BB060F">
        <w:rPr>
          <w:rFonts w:hint="cs"/>
          <w:b/>
          <w:bCs/>
          <w:rtl/>
          <w:lang w:eastAsia="zh-TW"/>
        </w:rPr>
        <w:t xml:space="preserve"> </w:t>
      </w:r>
      <w:r w:rsidRPr="00B12F95">
        <w:rPr>
          <w:b/>
          <w:bCs/>
          <w:rtl/>
          <w:lang w:eastAsia="zh-TW"/>
        </w:rPr>
        <w:t>الاقتصادية، إ</w:t>
      </w:r>
      <w:r w:rsidR="00B12F95">
        <w:rPr>
          <w:b/>
          <w:bCs/>
          <w:rtl/>
          <w:lang w:eastAsia="zh-TW"/>
        </w:rPr>
        <w:t>ضافة إلى المدة الزمنية لاستخدام</w:t>
      </w:r>
      <w:r w:rsidRPr="00B12F95">
        <w:rPr>
          <w:b/>
          <w:bCs/>
          <w:rtl/>
          <w:lang w:eastAsia="zh-TW"/>
        </w:rPr>
        <w:t xml:space="preserve"> الطفل. </w:t>
      </w:r>
    </w:p>
    <w:p w:rsidR="006126DA" w:rsidRPr="00820910" w:rsidRDefault="00D1159D" w:rsidP="00D1159D">
      <w:pPr>
        <w:pStyle w:val="HChGA"/>
        <w:rPr>
          <w:rtl/>
          <w:lang w:eastAsia="zh-TW"/>
        </w:rPr>
      </w:pPr>
      <w:r>
        <w:rPr>
          <w:rFonts w:hint="cs"/>
          <w:rtl/>
          <w:lang w:eastAsia="zh-TW"/>
        </w:rPr>
        <w:lastRenderedPageBreak/>
        <w:tab/>
      </w:r>
      <w:r w:rsidR="006126DA" w:rsidRPr="00820910">
        <w:rPr>
          <w:rtl/>
          <w:lang w:eastAsia="zh-TW"/>
        </w:rPr>
        <w:t>رابعا</w:t>
      </w:r>
      <w:r>
        <w:rPr>
          <w:rFonts w:hint="cs"/>
          <w:rtl/>
          <w:lang w:eastAsia="zh-TW"/>
        </w:rPr>
        <w:t>ً</w:t>
      </w:r>
      <w:r w:rsidR="006126DA" w:rsidRPr="00820910">
        <w:rPr>
          <w:rtl/>
        </w:rPr>
        <w:t>-</w:t>
      </w:r>
      <w:r>
        <w:rPr>
          <w:rFonts w:hint="cs"/>
          <w:rtl/>
          <w:lang w:eastAsia="zh-TW"/>
        </w:rPr>
        <w:tab/>
      </w:r>
      <w:r w:rsidR="006126DA" w:rsidRPr="00820910">
        <w:rPr>
          <w:rtl/>
          <w:lang w:eastAsia="zh-TW"/>
        </w:rPr>
        <w:t>الحظر والمس</w:t>
      </w:r>
      <w:r w:rsidR="006126DA">
        <w:rPr>
          <w:rtl/>
          <w:lang w:eastAsia="zh-TW"/>
        </w:rPr>
        <w:t>ائل المتصلة به</w:t>
      </w:r>
      <w:r w:rsidR="006126DA" w:rsidRPr="00820910">
        <w:rPr>
          <w:rtl/>
          <w:lang w:eastAsia="zh-TW"/>
        </w:rPr>
        <w:t xml:space="preserve"> </w:t>
      </w:r>
    </w:p>
    <w:p w:rsidR="006126DA" w:rsidRPr="00820910" w:rsidRDefault="006126DA" w:rsidP="00D1159D">
      <w:pPr>
        <w:pStyle w:val="H1GA"/>
        <w:rPr>
          <w:rtl/>
          <w:lang w:eastAsia="zh-TW"/>
        </w:rPr>
      </w:pPr>
      <w:r w:rsidRPr="008B55B4">
        <w:rPr>
          <w:rtl/>
          <w:lang w:eastAsia="zh-TW"/>
        </w:rPr>
        <w:tab/>
      </w:r>
      <w:r w:rsidRPr="008B55B4">
        <w:rPr>
          <w:rtl/>
          <w:lang w:eastAsia="zh-TW"/>
        </w:rPr>
        <w:tab/>
      </w:r>
      <w:r w:rsidRPr="00820910">
        <w:rPr>
          <w:rtl/>
          <w:lang w:eastAsia="zh-TW"/>
        </w:rPr>
        <w:t>التشريعات واللوائح الجنائية النافذة</w:t>
      </w:r>
    </w:p>
    <w:p w:rsidR="006126DA" w:rsidRPr="008B55B4" w:rsidRDefault="006126DA" w:rsidP="003F3B62">
      <w:pPr>
        <w:pStyle w:val="SingleTxtGA"/>
        <w:rPr>
          <w:rtl/>
          <w:lang w:eastAsia="zh-TW"/>
        </w:rPr>
      </w:pPr>
      <w:r w:rsidRPr="008B55B4">
        <w:rPr>
          <w:rtl/>
        </w:rPr>
        <w:t>١٥-</w:t>
      </w:r>
      <w:r w:rsidRPr="008B55B4">
        <w:rPr>
          <w:rtl/>
        </w:rPr>
        <w:tab/>
      </w:r>
      <w:r w:rsidRPr="008B55B4">
        <w:rPr>
          <w:rtl/>
          <w:lang w:eastAsia="zh-TW"/>
        </w:rPr>
        <w:t>تلاحظ اللجنة أن التجنيد في القوات المسلحة أصبح اختياريا</w:t>
      </w:r>
      <w:r w:rsidR="00BB060F">
        <w:rPr>
          <w:rFonts w:hint="cs"/>
          <w:rtl/>
          <w:lang w:eastAsia="zh-TW"/>
        </w:rPr>
        <w:t>ً</w:t>
      </w:r>
      <w:r w:rsidRPr="008B55B4">
        <w:rPr>
          <w:rtl/>
          <w:lang w:eastAsia="zh-TW"/>
        </w:rPr>
        <w:t xml:space="preserve"> منذ إلغاء التجنيد الإجباري في عام 2007، على ألا يقل عمر المتجنّد عن 18 </w:t>
      </w:r>
      <w:r>
        <w:rPr>
          <w:rtl/>
          <w:lang w:eastAsia="zh-TW"/>
        </w:rPr>
        <w:t>عاما</w:t>
      </w:r>
      <w:r w:rsidR="00BB060F">
        <w:rPr>
          <w:rFonts w:hint="cs"/>
          <w:rtl/>
          <w:lang w:eastAsia="zh-TW"/>
        </w:rPr>
        <w:t>ً</w:t>
      </w:r>
      <w:r>
        <w:rPr>
          <w:rtl/>
          <w:lang w:eastAsia="zh-TW"/>
        </w:rPr>
        <w:t>، لكنها تشعر بالقلق ل</w:t>
      </w:r>
      <w:r w:rsidRPr="008B55B4">
        <w:rPr>
          <w:rtl/>
          <w:lang w:eastAsia="zh-TW"/>
        </w:rPr>
        <w:t>أن تجنيد</w:t>
      </w:r>
      <w:r w:rsidRPr="00430F4D">
        <w:rPr>
          <w:rtl/>
          <w:lang w:eastAsia="zh-TW"/>
        </w:rPr>
        <w:t xml:space="preserve"> </w:t>
      </w:r>
      <w:r w:rsidRPr="008B55B4">
        <w:rPr>
          <w:rtl/>
          <w:lang w:eastAsia="zh-TW"/>
        </w:rPr>
        <w:t>القوات والجماعات المسلحة من غير الدول الأطفال</w:t>
      </w:r>
      <w:r>
        <w:rPr>
          <w:rtl/>
          <w:lang w:eastAsia="zh-TW"/>
        </w:rPr>
        <w:t>َ واستخدامهم في الاقتتال</w:t>
      </w:r>
      <w:r w:rsidRPr="008B55B4">
        <w:rPr>
          <w:rtl/>
          <w:lang w:eastAsia="zh-TW"/>
        </w:rPr>
        <w:t>، وكذلك الشركات الأمنية الخاصة، لم ي</w:t>
      </w:r>
      <w:r>
        <w:rPr>
          <w:rtl/>
          <w:lang w:eastAsia="zh-TW"/>
        </w:rPr>
        <w:t>ُ</w:t>
      </w:r>
      <w:r w:rsidRPr="008B55B4">
        <w:rPr>
          <w:rtl/>
          <w:lang w:eastAsia="zh-TW"/>
        </w:rPr>
        <w:t xml:space="preserve">حظرا </w:t>
      </w:r>
      <w:r>
        <w:rPr>
          <w:rtl/>
          <w:lang w:eastAsia="zh-TW"/>
        </w:rPr>
        <w:t xml:space="preserve">بعد </w:t>
      </w:r>
      <w:r w:rsidRPr="008B55B4">
        <w:rPr>
          <w:rtl/>
          <w:lang w:eastAsia="zh-TW"/>
        </w:rPr>
        <w:t>أو يجرّما صراحةً. وتشعر بالقلق أيضا</w:t>
      </w:r>
      <w:r w:rsidR="00BB060F">
        <w:rPr>
          <w:rFonts w:hint="cs"/>
          <w:rtl/>
          <w:lang w:eastAsia="zh-TW"/>
        </w:rPr>
        <w:t>ً</w:t>
      </w:r>
      <w:r w:rsidRPr="008B55B4">
        <w:rPr>
          <w:rtl/>
          <w:lang w:eastAsia="zh-TW"/>
        </w:rPr>
        <w:t xml:space="preserve"> لأن تشريعات الدولة الطرف لم ت</w:t>
      </w:r>
      <w:r>
        <w:rPr>
          <w:rtl/>
          <w:lang w:eastAsia="zh-TW"/>
        </w:rPr>
        <w:t>َ</w:t>
      </w:r>
      <w:r w:rsidRPr="008B55B4">
        <w:rPr>
          <w:rtl/>
          <w:lang w:eastAsia="zh-TW"/>
        </w:rPr>
        <w:t>عدّ تجنيد الأطفال دون 15 عاما</w:t>
      </w:r>
      <w:r w:rsidR="00BB060F">
        <w:rPr>
          <w:rFonts w:hint="cs"/>
          <w:rtl/>
          <w:lang w:eastAsia="zh-TW"/>
        </w:rPr>
        <w:t>ً</w:t>
      </w:r>
      <w:r w:rsidRPr="008B55B4">
        <w:rPr>
          <w:rtl/>
          <w:lang w:eastAsia="zh-TW"/>
        </w:rPr>
        <w:t xml:space="preserve"> جريمة حرب</w:t>
      </w:r>
      <w:r>
        <w:rPr>
          <w:rtl/>
          <w:lang w:eastAsia="zh-TW"/>
        </w:rPr>
        <w:t>.</w:t>
      </w:r>
    </w:p>
    <w:p w:rsidR="006126DA" w:rsidRPr="00D1159D" w:rsidRDefault="006126DA" w:rsidP="00D1159D">
      <w:pPr>
        <w:pStyle w:val="SingleTxtGA"/>
        <w:rPr>
          <w:b/>
          <w:bCs/>
          <w:rtl/>
          <w:lang w:eastAsia="zh-TW"/>
        </w:rPr>
      </w:pPr>
      <w:r w:rsidRPr="00820910">
        <w:rPr>
          <w:rtl/>
        </w:rPr>
        <w:t>١٦-</w:t>
      </w:r>
      <w:r w:rsidRPr="00820910">
        <w:rPr>
          <w:rtl/>
        </w:rPr>
        <w:tab/>
      </w:r>
      <w:r w:rsidRPr="00D1159D">
        <w:rPr>
          <w:b/>
          <w:bCs/>
          <w:rtl/>
          <w:lang w:eastAsia="zh-TW"/>
        </w:rPr>
        <w:t>توصي اللجنة الدولة الطرف بمراجعة تشريعاتها مراجعة شاملة بغية مواءمتها مع مبادئ البروتوكول الاختياري وأحكامه،</w:t>
      </w:r>
      <w:r w:rsidR="00984817">
        <w:rPr>
          <w:b/>
          <w:bCs/>
          <w:rtl/>
          <w:lang w:eastAsia="zh-TW"/>
        </w:rPr>
        <w:t xml:space="preserve"> </w:t>
      </w:r>
      <w:r w:rsidRPr="00D1159D">
        <w:rPr>
          <w:b/>
          <w:bCs/>
          <w:rtl/>
          <w:lang w:eastAsia="zh-TW"/>
        </w:rPr>
        <w:t xml:space="preserve">وتوصيها على الخصوص بما يلي: </w:t>
      </w:r>
    </w:p>
    <w:p w:rsidR="006126DA" w:rsidRPr="00D1159D" w:rsidRDefault="00D1159D" w:rsidP="00D1159D">
      <w:pPr>
        <w:pStyle w:val="SingleTxtGA"/>
        <w:rPr>
          <w:b/>
          <w:bCs/>
          <w:rtl/>
          <w:lang w:eastAsia="zh-TW"/>
        </w:rPr>
      </w:pPr>
      <w:r>
        <w:rPr>
          <w:rFonts w:hint="cs"/>
          <w:rtl/>
        </w:rPr>
        <w:tab/>
      </w:r>
      <w:r w:rsidR="006126DA" w:rsidRPr="00D1159D">
        <w:rPr>
          <w:b/>
          <w:bCs/>
          <w:rtl/>
        </w:rPr>
        <w:t>(أ)</w:t>
      </w:r>
      <w:r w:rsidR="006126DA" w:rsidRPr="00D1159D">
        <w:rPr>
          <w:b/>
          <w:bCs/>
          <w:rtl/>
        </w:rPr>
        <w:tab/>
      </w:r>
      <w:r w:rsidR="006126DA" w:rsidRPr="00D1159D">
        <w:rPr>
          <w:b/>
          <w:bCs/>
          <w:rtl/>
          <w:lang w:eastAsia="zh-TW"/>
        </w:rPr>
        <w:t>التصريح بحظر وتجريم تجنيد القوات المسلحة والجماعات المسلحة من غير الدول والشركات الأمنية الأطفالَ دون 18 عاما</w:t>
      </w:r>
      <w:r w:rsidR="005B569D">
        <w:rPr>
          <w:rFonts w:hint="cs"/>
          <w:b/>
          <w:bCs/>
          <w:rtl/>
          <w:lang w:eastAsia="zh-TW"/>
        </w:rPr>
        <w:t>ً</w:t>
      </w:r>
      <w:r w:rsidR="006126DA" w:rsidRPr="00D1159D">
        <w:rPr>
          <w:b/>
          <w:bCs/>
          <w:rtl/>
          <w:lang w:eastAsia="zh-TW"/>
        </w:rPr>
        <w:t xml:space="preserve"> واستخدامهم في الاقتتال؛</w:t>
      </w:r>
    </w:p>
    <w:p w:rsidR="006126DA" w:rsidRPr="00D1159D" w:rsidRDefault="00D1159D" w:rsidP="00D1159D">
      <w:pPr>
        <w:pStyle w:val="SingleTxtGA"/>
        <w:rPr>
          <w:b/>
          <w:bCs/>
          <w:rtl/>
          <w:lang w:eastAsia="zh-TW"/>
        </w:rPr>
      </w:pPr>
      <w:r w:rsidRPr="00D1159D">
        <w:rPr>
          <w:rFonts w:hint="cs"/>
          <w:b/>
          <w:bCs/>
          <w:rtl/>
        </w:rPr>
        <w:tab/>
      </w:r>
      <w:r w:rsidR="006126DA" w:rsidRPr="00D1159D">
        <w:rPr>
          <w:b/>
          <w:bCs/>
          <w:rtl/>
        </w:rPr>
        <w:t>(ب)</w:t>
      </w:r>
      <w:r w:rsidR="006126DA" w:rsidRPr="00D1159D">
        <w:rPr>
          <w:b/>
          <w:bCs/>
          <w:rtl/>
        </w:rPr>
        <w:tab/>
      </w:r>
      <w:r w:rsidR="006126DA" w:rsidRPr="00D1159D">
        <w:rPr>
          <w:b/>
          <w:bCs/>
          <w:rtl/>
          <w:lang w:eastAsia="zh-TW"/>
        </w:rPr>
        <w:t>اعتبار تجنيد الأطفال دون 15 عاما</w:t>
      </w:r>
      <w:r w:rsidR="005B569D">
        <w:rPr>
          <w:rFonts w:hint="cs"/>
          <w:b/>
          <w:bCs/>
          <w:rtl/>
          <w:lang w:eastAsia="zh-TW"/>
        </w:rPr>
        <w:t>ً</w:t>
      </w:r>
      <w:r w:rsidR="006126DA" w:rsidRPr="00D1159D">
        <w:rPr>
          <w:b/>
          <w:bCs/>
          <w:rtl/>
          <w:lang w:eastAsia="zh-TW"/>
        </w:rPr>
        <w:t xml:space="preserve"> جريمة حرب والمعاقبة عليه، والنظر في التصديق على نظام روما الأساسي للمحكمة الجنائية الدولية. </w:t>
      </w:r>
    </w:p>
    <w:p w:rsidR="006126DA" w:rsidRPr="00820910" w:rsidRDefault="00D1159D" w:rsidP="00D1159D">
      <w:pPr>
        <w:pStyle w:val="H1GA"/>
        <w:rPr>
          <w:rtl/>
          <w:lang w:eastAsia="zh-TW"/>
        </w:rPr>
      </w:pPr>
      <w:r>
        <w:rPr>
          <w:rtl/>
          <w:lang w:eastAsia="zh-TW"/>
        </w:rPr>
        <w:tab/>
      </w:r>
      <w:r>
        <w:rPr>
          <w:rtl/>
          <w:lang w:eastAsia="zh-TW"/>
        </w:rPr>
        <w:tab/>
        <w:t>الولاية القضائية خارج ال</w:t>
      </w:r>
      <w:r>
        <w:rPr>
          <w:rFonts w:hint="cs"/>
          <w:rtl/>
          <w:lang w:eastAsia="zh-TW"/>
        </w:rPr>
        <w:t>إ</w:t>
      </w:r>
      <w:r w:rsidR="006126DA" w:rsidRPr="00820910">
        <w:rPr>
          <w:rtl/>
          <w:lang w:eastAsia="zh-TW"/>
        </w:rPr>
        <w:t xml:space="preserve">قليم </w:t>
      </w:r>
    </w:p>
    <w:p w:rsidR="006126DA" w:rsidRPr="008B55B4" w:rsidRDefault="006126DA" w:rsidP="00D1159D">
      <w:pPr>
        <w:pStyle w:val="SingleTxtGA"/>
        <w:rPr>
          <w:rtl/>
          <w:lang w:eastAsia="zh-TW"/>
        </w:rPr>
      </w:pPr>
      <w:r w:rsidRPr="008B55B4">
        <w:rPr>
          <w:rtl/>
        </w:rPr>
        <w:t>١٧-</w:t>
      </w:r>
      <w:r w:rsidRPr="008B55B4">
        <w:rPr>
          <w:rtl/>
        </w:rPr>
        <w:tab/>
      </w:r>
      <w:r w:rsidRPr="008B55B4">
        <w:rPr>
          <w:rtl/>
          <w:lang w:eastAsia="zh-TW"/>
        </w:rPr>
        <w:t xml:space="preserve">ترحب اللجنة بالمعلومات المقدمة خلال الحوار مع وفد الدولة الطرف ومؤداها أن الدولة الطرف قيد اعتماد مشروع قانون ينشئ، في جملة ما ينشئ، ولاية قضائية خارج الإقليم على الجرائم المشمولة بالبروتوكول الاختياري. </w:t>
      </w:r>
    </w:p>
    <w:p w:rsidR="006126DA" w:rsidRPr="00D1159D" w:rsidRDefault="006126DA" w:rsidP="00D1159D">
      <w:pPr>
        <w:pStyle w:val="SingleTxtGA"/>
        <w:rPr>
          <w:b/>
          <w:bCs/>
          <w:rtl/>
          <w:lang w:eastAsia="zh-TW"/>
        </w:rPr>
      </w:pPr>
      <w:r w:rsidRPr="00820910">
        <w:rPr>
          <w:rtl/>
        </w:rPr>
        <w:t>١٨-</w:t>
      </w:r>
      <w:r w:rsidRPr="00820910">
        <w:rPr>
          <w:rtl/>
        </w:rPr>
        <w:tab/>
      </w:r>
      <w:r w:rsidRPr="00D1159D">
        <w:rPr>
          <w:b/>
          <w:bCs/>
          <w:rtl/>
          <w:lang w:eastAsia="zh-TW"/>
        </w:rPr>
        <w:t>توصي اللجنة الدولة الطرف بأن</w:t>
      </w:r>
      <w:r w:rsidR="00984817">
        <w:rPr>
          <w:b/>
          <w:bCs/>
          <w:rtl/>
          <w:lang w:eastAsia="zh-TW"/>
        </w:rPr>
        <w:t xml:space="preserve"> </w:t>
      </w:r>
      <w:r w:rsidRPr="00D1159D">
        <w:rPr>
          <w:b/>
          <w:bCs/>
          <w:rtl/>
          <w:lang w:eastAsia="zh-TW"/>
        </w:rPr>
        <w:t>تنشئ ولاية قضائية خارج الإقليم على الأفعال التي يحظرها البروتوكول الاختياري، بما في ذلك تجنيد الأطفال في القوات المسلحة أو الجماعات المسلحة أو جعلهم يتطوعون فيها أو جعلهم يشاركون</w:t>
      </w:r>
      <w:r w:rsidR="00984817">
        <w:rPr>
          <w:b/>
          <w:bCs/>
          <w:rtl/>
          <w:lang w:eastAsia="zh-TW"/>
        </w:rPr>
        <w:t xml:space="preserve"> </w:t>
      </w:r>
      <w:r w:rsidRPr="00D1159D">
        <w:rPr>
          <w:b/>
          <w:bCs/>
          <w:rtl/>
          <w:lang w:eastAsia="zh-TW"/>
        </w:rPr>
        <w:t xml:space="preserve">مشاركة نشيطة في الاقتتال إن ارتكب هذه الجرائمَ مواطنٌ مغربي أو ارتُكبت في حقه، وكذلك أي شخص وثيق الصلة بالدولة الطرف. </w:t>
      </w:r>
    </w:p>
    <w:p w:rsidR="006126DA" w:rsidRPr="00820910" w:rsidRDefault="003F3B62" w:rsidP="003F3B62">
      <w:pPr>
        <w:pStyle w:val="HChGA"/>
        <w:rPr>
          <w:rtl/>
          <w:lang w:eastAsia="zh-TW"/>
        </w:rPr>
      </w:pPr>
      <w:r>
        <w:rPr>
          <w:rFonts w:hint="cs"/>
          <w:rtl/>
          <w:lang w:eastAsia="zh-TW"/>
        </w:rPr>
        <w:tab/>
      </w:r>
      <w:r w:rsidR="006126DA" w:rsidRPr="00820910">
        <w:rPr>
          <w:rtl/>
          <w:lang w:eastAsia="zh-TW"/>
        </w:rPr>
        <w:t>خامسا</w:t>
      </w:r>
      <w:r>
        <w:rPr>
          <w:rFonts w:hint="cs"/>
          <w:rtl/>
          <w:lang w:eastAsia="zh-TW"/>
        </w:rPr>
        <w:t>ً</w:t>
      </w:r>
      <w:r w:rsidR="006126DA" w:rsidRPr="00820910">
        <w:rPr>
          <w:rtl/>
        </w:rPr>
        <w:t>-</w:t>
      </w:r>
      <w:r>
        <w:rPr>
          <w:rFonts w:hint="cs"/>
          <w:rtl/>
          <w:lang w:eastAsia="zh-TW"/>
        </w:rPr>
        <w:tab/>
      </w:r>
      <w:r w:rsidR="006126DA" w:rsidRPr="00820910">
        <w:rPr>
          <w:rtl/>
          <w:lang w:eastAsia="zh-TW"/>
        </w:rPr>
        <w:t xml:space="preserve">الحماية والتعافي وإعادة الإدماج </w:t>
      </w:r>
    </w:p>
    <w:p w:rsidR="006126DA" w:rsidRPr="00820910" w:rsidRDefault="006126DA" w:rsidP="00D1159D">
      <w:pPr>
        <w:pStyle w:val="H1GA"/>
        <w:rPr>
          <w:rtl/>
          <w:lang w:eastAsia="zh-TW"/>
        </w:rPr>
      </w:pPr>
      <w:r w:rsidRPr="00820910">
        <w:rPr>
          <w:rtl/>
          <w:lang w:eastAsia="zh-TW"/>
        </w:rPr>
        <w:tab/>
      </w:r>
      <w:r w:rsidRPr="00820910">
        <w:rPr>
          <w:rtl/>
          <w:lang w:eastAsia="zh-TW"/>
        </w:rPr>
        <w:tab/>
        <w:t>التدابير المتخذة لحماية حقوق الأطفال الضحايا</w:t>
      </w:r>
    </w:p>
    <w:p w:rsidR="006126DA" w:rsidRPr="008B55B4" w:rsidRDefault="006126DA" w:rsidP="00D1159D">
      <w:pPr>
        <w:pStyle w:val="SingleTxtGA"/>
        <w:rPr>
          <w:rtl/>
          <w:lang w:eastAsia="zh-TW"/>
        </w:rPr>
      </w:pPr>
      <w:r w:rsidRPr="008B55B4">
        <w:rPr>
          <w:rtl/>
        </w:rPr>
        <w:t>١٩-</w:t>
      </w:r>
      <w:r w:rsidRPr="008B55B4">
        <w:rPr>
          <w:rtl/>
        </w:rPr>
        <w:tab/>
      </w:r>
      <w:r w:rsidRPr="008B55B4">
        <w:rPr>
          <w:rtl/>
          <w:lang w:eastAsia="zh-TW"/>
        </w:rPr>
        <w:t>تعرب اللجنة عن قلقها الشديد بسبب كثرة حالات الإعادة القسرية للأطفال اللاجئين وملتمسي اللجوء وبسبب عدم وجود معلومات عن التدابير المتخذة لحماية حقوق الأطفال ضحايا التجنيد والتصدي لاستخدامهم في</w:t>
      </w:r>
      <w:r w:rsidR="00984817">
        <w:rPr>
          <w:rtl/>
          <w:lang w:eastAsia="zh-TW"/>
        </w:rPr>
        <w:t xml:space="preserve"> </w:t>
      </w:r>
      <w:r>
        <w:rPr>
          <w:rtl/>
          <w:lang w:eastAsia="zh-TW"/>
        </w:rPr>
        <w:t>النزاعات</w:t>
      </w:r>
      <w:r w:rsidRPr="008B55B4">
        <w:rPr>
          <w:rtl/>
          <w:lang w:eastAsia="zh-TW"/>
        </w:rPr>
        <w:t xml:space="preserve"> المسلحة في الخارج. </w:t>
      </w:r>
    </w:p>
    <w:p w:rsidR="006126DA" w:rsidRPr="00D1159D" w:rsidRDefault="006126DA" w:rsidP="00D1159D">
      <w:pPr>
        <w:pStyle w:val="SingleTxtGA"/>
        <w:rPr>
          <w:b/>
          <w:bCs/>
          <w:rtl/>
          <w:lang w:eastAsia="zh-TW"/>
        </w:rPr>
      </w:pPr>
      <w:r w:rsidRPr="00820910">
        <w:rPr>
          <w:rtl/>
        </w:rPr>
        <w:lastRenderedPageBreak/>
        <w:t>٢٠-</w:t>
      </w:r>
      <w:r w:rsidRPr="00820910">
        <w:rPr>
          <w:rtl/>
        </w:rPr>
        <w:tab/>
      </w:r>
      <w:r w:rsidR="003F3B62" w:rsidRPr="00D1159D">
        <w:rPr>
          <w:b/>
          <w:bCs/>
          <w:rtl/>
          <w:lang w:eastAsia="zh-TW"/>
        </w:rPr>
        <w:t>تحث اللجنة الدولة الطرف على أن</w:t>
      </w:r>
      <w:r w:rsidRPr="00D1159D">
        <w:rPr>
          <w:b/>
          <w:bCs/>
          <w:rtl/>
          <w:lang w:eastAsia="zh-TW"/>
        </w:rPr>
        <w:t xml:space="preserve"> تضمن الاحترام التام لمبدأ عدم الإعادة القسرية الأساسي، بما في ذلك عدم الرفض عند الحدود. </w:t>
      </w:r>
    </w:p>
    <w:p w:rsidR="006126DA" w:rsidRPr="00820910" w:rsidRDefault="006126DA" w:rsidP="00D1159D">
      <w:pPr>
        <w:pStyle w:val="H1GA"/>
        <w:rPr>
          <w:rtl/>
          <w:lang w:eastAsia="zh-TW"/>
        </w:rPr>
      </w:pPr>
      <w:r w:rsidRPr="00820910">
        <w:rPr>
          <w:rtl/>
          <w:lang w:eastAsia="zh-TW"/>
        </w:rPr>
        <w:tab/>
      </w:r>
      <w:r w:rsidRPr="00820910">
        <w:rPr>
          <w:rtl/>
          <w:lang w:eastAsia="zh-TW"/>
        </w:rPr>
        <w:tab/>
        <w:t>المساعدة على التعافي الجسدي والنفسي وإعادة الإدماج الاجتماعي</w:t>
      </w:r>
    </w:p>
    <w:p w:rsidR="006126DA" w:rsidRPr="008B55B4" w:rsidRDefault="006126DA" w:rsidP="00D1159D">
      <w:pPr>
        <w:pStyle w:val="SingleTxtGA"/>
        <w:rPr>
          <w:rtl/>
          <w:lang w:eastAsia="zh-TW"/>
        </w:rPr>
      </w:pPr>
      <w:r w:rsidRPr="008B55B4">
        <w:rPr>
          <w:rtl/>
        </w:rPr>
        <w:t>٢١-</w:t>
      </w:r>
      <w:r w:rsidRPr="008B55B4">
        <w:rPr>
          <w:rtl/>
        </w:rPr>
        <w:tab/>
      </w:r>
      <w:r w:rsidRPr="008B55B4">
        <w:rPr>
          <w:rtl/>
          <w:lang w:eastAsia="zh-TW"/>
        </w:rPr>
        <w:t xml:space="preserve">تشعر اللجنة بالقلق من عدم إيلاء العناية الكافية للتحديد المبكر لهوية الأطفال اللاجئين وملتمسي اللجوء الذين قد يكونون أُشركوا في نزاعات أو تعرضوا لمعاناة نفسية مرتبطة بهذه النزاعات. وتشعر بالقلق أيضاً لأن الأطفال الذين يعانون آلاما بالغة، إضافة إلى التعوّق الحسي أو الذهني أو النفسي نتيجة تعرضهم للعنف والمحن المرتبطين بالحرب أو مشاهدتهم لهما، لا يتمكنون، إلا قليلا، من تلقي المساعدة لاستعادة عافيتهم البدنية والنفسية. </w:t>
      </w:r>
    </w:p>
    <w:p w:rsidR="006126DA" w:rsidRPr="00D1159D" w:rsidRDefault="006126DA" w:rsidP="005B569D">
      <w:pPr>
        <w:pStyle w:val="SingleTxtGA"/>
        <w:keepNext/>
        <w:rPr>
          <w:b/>
          <w:bCs/>
          <w:rtl/>
          <w:lang w:eastAsia="zh-TW"/>
        </w:rPr>
      </w:pPr>
      <w:r w:rsidRPr="00820910">
        <w:rPr>
          <w:rtl/>
        </w:rPr>
        <w:t>٢٢-</w:t>
      </w:r>
      <w:r w:rsidRPr="00820910">
        <w:rPr>
          <w:rtl/>
        </w:rPr>
        <w:tab/>
      </w:r>
      <w:r w:rsidRPr="00D1159D">
        <w:rPr>
          <w:b/>
          <w:bCs/>
          <w:rtl/>
          <w:lang w:eastAsia="zh-TW"/>
        </w:rPr>
        <w:t xml:space="preserve">توصي اللجنة الدولة الطرف بالآتي: </w:t>
      </w:r>
    </w:p>
    <w:p w:rsidR="006126DA" w:rsidRPr="00D1159D" w:rsidRDefault="00D1159D" w:rsidP="00D1159D">
      <w:pPr>
        <w:pStyle w:val="SingleTxtGA"/>
        <w:rPr>
          <w:b/>
          <w:bCs/>
          <w:rtl/>
          <w:lang w:eastAsia="zh-TW"/>
        </w:rPr>
      </w:pPr>
      <w:r>
        <w:rPr>
          <w:rFonts w:hint="cs"/>
          <w:rtl/>
        </w:rPr>
        <w:tab/>
      </w:r>
      <w:r w:rsidR="006126DA" w:rsidRPr="00D1159D">
        <w:rPr>
          <w:b/>
          <w:bCs/>
          <w:rtl/>
        </w:rPr>
        <w:t>(أ)</w:t>
      </w:r>
      <w:r w:rsidR="006126DA" w:rsidRPr="00D1159D">
        <w:rPr>
          <w:b/>
          <w:bCs/>
          <w:rtl/>
        </w:rPr>
        <w:tab/>
      </w:r>
      <w:r w:rsidR="006126DA" w:rsidRPr="00D1159D">
        <w:rPr>
          <w:b/>
          <w:bCs/>
          <w:rtl/>
          <w:lang w:eastAsia="zh-TW"/>
        </w:rPr>
        <w:t>توفير تدريب منتظم لجميع المهنيين العاملين مع الأطفال أو من أجلهم، ولا سيما موظفي الهجرة ومراقبة الحدود، والجيش، وأهل التعليم، بشأن التحديد المبكر لهويات الأطفال الذين قد يكونون أُشركوا في النزاعات أو تأثروا بها،</w:t>
      </w:r>
      <w:r w:rsidR="00984817">
        <w:rPr>
          <w:b/>
          <w:bCs/>
          <w:rtl/>
          <w:lang w:eastAsia="zh-TW"/>
        </w:rPr>
        <w:t xml:space="preserve"> </w:t>
      </w:r>
      <w:r w:rsidR="006126DA" w:rsidRPr="00D1159D">
        <w:rPr>
          <w:b/>
          <w:bCs/>
          <w:rtl/>
          <w:lang w:eastAsia="zh-TW"/>
        </w:rPr>
        <w:t>وضمان تأمين موظفي الهجرة</w:t>
      </w:r>
      <w:r w:rsidR="00984817">
        <w:rPr>
          <w:b/>
          <w:bCs/>
          <w:rtl/>
          <w:lang w:eastAsia="zh-TW"/>
        </w:rPr>
        <w:t xml:space="preserve"> </w:t>
      </w:r>
      <w:r w:rsidR="006126DA" w:rsidRPr="00D1159D">
        <w:rPr>
          <w:b/>
          <w:bCs/>
          <w:rtl/>
          <w:lang w:eastAsia="zh-TW"/>
        </w:rPr>
        <w:t>الدعم العاملين في المهن الطبية، بمن فيهم الأخصائيون النفسيون، عند التعامل مع هؤلاء الأطفال؛</w:t>
      </w:r>
    </w:p>
    <w:p w:rsidR="006126DA" w:rsidRPr="00D1159D" w:rsidRDefault="00D1159D" w:rsidP="00D1159D">
      <w:pPr>
        <w:pStyle w:val="SingleTxtGA"/>
        <w:rPr>
          <w:b/>
          <w:bCs/>
          <w:rtl/>
          <w:lang w:eastAsia="zh-TW"/>
        </w:rPr>
      </w:pPr>
      <w:r>
        <w:rPr>
          <w:rFonts w:hint="cs"/>
          <w:b/>
          <w:bCs/>
          <w:rtl/>
        </w:rPr>
        <w:tab/>
      </w:r>
      <w:r w:rsidR="006126DA" w:rsidRPr="00D1159D">
        <w:rPr>
          <w:b/>
          <w:bCs/>
          <w:rtl/>
        </w:rPr>
        <w:t>(ب)</w:t>
      </w:r>
      <w:r w:rsidR="006126DA" w:rsidRPr="00D1159D">
        <w:rPr>
          <w:b/>
          <w:bCs/>
          <w:rtl/>
        </w:rPr>
        <w:tab/>
      </w:r>
      <w:r w:rsidR="006126DA" w:rsidRPr="00D1159D">
        <w:rPr>
          <w:b/>
          <w:bCs/>
          <w:rtl/>
          <w:lang w:eastAsia="zh-TW"/>
        </w:rPr>
        <w:t>زيادة المساعدة والدعم المقدمين إلى الأطفال اللاجئين وملتمسي اللجوء الذين قد يكونون أُشركوا في نزاعات أو تعرضوا لمعاناة نفسية مرتبطة بتلك النزاعات وللتشرد؛</w:t>
      </w:r>
    </w:p>
    <w:p w:rsidR="006126DA" w:rsidRPr="00D1159D" w:rsidRDefault="00D1159D" w:rsidP="00D1159D">
      <w:pPr>
        <w:pStyle w:val="SingleTxtGA"/>
        <w:rPr>
          <w:b/>
          <w:bCs/>
          <w:rtl/>
          <w:lang w:eastAsia="zh-TW"/>
        </w:rPr>
      </w:pPr>
      <w:r>
        <w:rPr>
          <w:rFonts w:hint="cs"/>
          <w:b/>
          <w:bCs/>
          <w:rtl/>
        </w:rPr>
        <w:tab/>
      </w:r>
      <w:r w:rsidR="006126DA" w:rsidRPr="00D1159D">
        <w:rPr>
          <w:b/>
          <w:bCs/>
          <w:rtl/>
        </w:rPr>
        <w:t>(ج)</w:t>
      </w:r>
      <w:r w:rsidR="006126DA" w:rsidRPr="00D1159D">
        <w:rPr>
          <w:b/>
          <w:bCs/>
          <w:rtl/>
        </w:rPr>
        <w:tab/>
      </w:r>
      <w:r w:rsidR="006126DA" w:rsidRPr="00D1159D">
        <w:rPr>
          <w:b/>
          <w:bCs/>
          <w:rtl/>
          <w:lang w:eastAsia="zh-TW"/>
        </w:rPr>
        <w:t xml:space="preserve">التماس المساعدة في هذا الصدد من الشركاء الدوليين والوكالات الدولية، مثل مفوضية الأمم المتحدة السامية لشؤون اللاجئين، على وضع برامج تيسر تعافيهم البدني والنفسي. </w:t>
      </w:r>
    </w:p>
    <w:p w:rsidR="006126DA" w:rsidRPr="00820910" w:rsidRDefault="006126DA" w:rsidP="00D1159D">
      <w:pPr>
        <w:pStyle w:val="HChGA"/>
        <w:rPr>
          <w:rtl/>
          <w:lang w:eastAsia="zh-TW"/>
        </w:rPr>
      </w:pPr>
      <w:r w:rsidRPr="00820910">
        <w:rPr>
          <w:rtl/>
          <w:lang w:eastAsia="zh-TW"/>
        </w:rPr>
        <w:tab/>
        <w:t>سادسا</w:t>
      </w:r>
      <w:r w:rsidR="00D1159D">
        <w:rPr>
          <w:rFonts w:hint="cs"/>
          <w:rtl/>
          <w:lang w:eastAsia="zh-TW"/>
        </w:rPr>
        <w:t>ً</w:t>
      </w:r>
      <w:r w:rsidRPr="00820910">
        <w:rPr>
          <w:rtl/>
        </w:rPr>
        <w:t>-</w:t>
      </w:r>
      <w:r w:rsidR="00D1159D">
        <w:rPr>
          <w:rFonts w:hint="cs"/>
          <w:rtl/>
          <w:lang w:eastAsia="zh-TW"/>
        </w:rPr>
        <w:tab/>
      </w:r>
      <w:r w:rsidRPr="00820910">
        <w:rPr>
          <w:rtl/>
          <w:lang w:eastAsia="zh-TW"/>
        </w:rPr>
        <w:t xml:space="preserve">التعاون والمساعدة الدوليان </w:t>
      </w:r>
    </w:p>
    <w:p w:rsidR="006126DA" w:rsidRPr="00820910" w:rsidRDefault="006126DA" w:rsidP="00D1159D">
      <w:pPr>
        <w:pStyle w:val="H1GA"/>
        <w:rPr>
          <w:rtl/>
          <w:lang w:eastAsia="zh-TW"/>
        </w:rPr>
      </w:pPr>
      <w:r w:rsidRPr="00820910">
        <w:rPr>
          <w:rtl/>
          <w:lang w:eastAsia="zh-TW"/>
        </w:rPr>
        <w:tab/>
      </w:r>
      <w:r w:rsidRPr="00820910">
        <w:rPr>
          <w:rtl/>
          <w:lang w:eastAsia="zh-TW"/>
        </w:rPr>
        <w:tab/>
        <w:t>إساءة أفراد قوات حفظ السلام معاملة الأطفال</w:t>
      </w:r>
    </w:p>
    <w:p w:rsidR="006126DA" w:rsidRPr="008B55B4" w:rsidRDefault="006126DA" w:rsidP="00D1159D">
      <w:pPr>
        <w:pStyle w:val="SingleTxtGA"/>
        <w:rPr>
          <w:rtl/>
          <w:lang w:eastAsia="zh-TW"/>
        </w:rPr>
      </w:pPr>
      <w:r w:rsidRPr="008B55B4">
        <w:rPr>
          <w:rtl/>
        </w:rPr>
        <w:t>٢٣-</w:t>
      </w:r>
      <w:r w:rsidRPr="008B55B4">
        <w:rPr>
          <w:rtl/>
        </w:rPr>
        <w:tab/>
      </w:r>
      <w:r w:rsidRPr="008B55B4">
        <w:rPr>
          <w:rtl/>
          <w:lang w:eastAsia="zh-TW"/>
        </w:rPr>
        <w:t>تحيط اللجنة علما</w:t>
      </w:r>
      <w:r w:rsidR="00D1159D">
        <w:rPr>
          <w:rFonts w:hint="cs"/>
          <w:rtl/>
          <w:lang w:eastAsia="zh-TW"/>
        </w:rPr>
        <w:t>ً</w:t>
      </w:r>
      <w:r w:rsidRPr="008B55B4">
        <w:rPr>
          <w:rtl/>
          <w:lang w:eastAsia="zh-TW"/>
        </w:rPr>
        <w:t xml:space="preserve"> بالمعلومات التي قدمها وفد الدولة الطرف ومفادها أن تحقيقات شاملة أجريت بالتعاون مع مكتب الأمم المتحدة لخدمات الرقابة الداخلية في اعتداءات جنسية على أطفال ارتكبها مغاربة من قوات حفظ السلام في كوت ديفوار في عام 2007، لكن</w:t>
      </w:r>
      <w:r>
        <w:rPr>
          <w:rtl/>
          <w:lang w:eastAsia="zh-TW"/>
        </w:rPr>
        <w:t>ها</w:t>
      </w:r>
      <w:r w:rsidRPr="008B55B4">
        <w:rPr>
          <w:rtl/>
          <w:lang w:eastAsia="zh-TW"/>
        </w:rPr>
        <w:t xml:space="preserve"> تشعر بقلق بالغ إزاء عدم اتخاذ </w:t>
      </w:r>
      <w:r>
        <w:rPr>
          <w:rtl/>
          <w:lang w:eastAsia="zh-TW"/>
        </w:rPr>
        <w:t>تدابير لمنع تلك الاعتداءات، والعقوبات الخفيفة</w:t>
      </w:r>
      <w:r w:rsidRPr="008B55B4">
        <w:rPr>
          <w:rtl/>
          <w:lang w:eastAsia="zh-TW"/>
        </w:rPr>
        <w:t xml:space="preserve"> التي طُبقت على الأشخاص الذين أدينوا بارتكابها، وعدم وجود معلومات عن التعويضات التي دفعت للضحايا. </w:t>
      </w:r>
    </w:p>
    <w:p w:rsidR="006126DA" w:rsidRPr="002433E5" w:rsidRDefault="006126DA" w:rsidP="00D1159D">
      <w:pPr>
        <w:pStyle w:val="SingleTxtGA"/>
        <w:rPr>
          <w:rtl/>
          <w:lang w:eastAsia="zh-TW"/>
        </w:rPr>
      </w:pPr>
      <w:r w:rsidRPr="002433E5">
        <w:rPr>
          <w:rtl/>
        </w:rPr>
        <w:lastRenderedPageBreak/>
        <w:t>٢٤-</w:t>
      </w:r>
      <w:r w:rsidRPr="002433E5">
        <w:rPr>
          <w:rtl/>
        </w:rPr>
        <w:tab/>
      </w:r>
      <w:r w:rsidRPr="00D1159D">
        <w:rPr>
          <w:b/>
          <w:bCs/>
          <w:rtl/>
          <w:lang w:eastAsia="zh-TW"/>
        </w:rPr>
        <w:t>تذكر اللجنة الدولة ال</w:t>
      </w:r>
      <w:r w:rsidR="00D1159D">
        <w:rPr>
          <w:b/>
          <w:bCs/>
          <w:rtl/>
          <w:lang w:eastAsia="zh-TW"/>
        </w:rPr>
        <w:t>طرف بأن القانون الدولي الإنساني</w:t>
      </w:r>
      <w:r w:rsidRPr="00D1159D">
        <w:rPr>
          <w:b/>
          <w:bCs/>
          <w:rtl/>
          <w:lang w:eastAsia="zh-TW"/>
        </w:rPr>
        <w:t xml:space="preserve"> يكفل للأطفال الذين أُشركوا في نزاعات مسلحة حماية خاصة، بما في ذلك من</w:t>
      </w:r>
      <w:r w:rsidR="00D1159D">
        <w:rPr>
          <w:b/>
          <w:bCs/>
          <w:rtl/>
          <w:lang w:eastAsia="zh-TW"/>
        </w:rPr>
        <w:t xml:space="preserve"> الاعتداء الجنسي</w:t>
      </w:r>
      <w:r w:rsidR="00D1159D">
        <w:rPr>
          <w:rFonts w:hint="cs"/>
          <w:b/>
          <w:bCs/>
          <w:rtl/>
          <w:lang w:eastAsia="zh-TW"/>
        </w:rPr>
        <w:t>.</w:t>
      </w:r>
      <w:r w:rsidRPr="00D1159D">
        <w:rPr>
          <w:b/>
          <w:bCs/>
          <w:rtl/>
          <w:lang w:eastAsia="zh-TW"/>
        </w:rPr>
        <w:t xml:space="preserve"> لذا، تحث الدولةَ الطرف على أن تتخذ على وجه الأولوية جميع التدابير اللازمة لمنع جنودها العاملين في إطار عمليات حفظ السلام من إيذاء الأطفال، وأن تضمن معاقبة من ثبتت إدانتهم عقابا</w:t>
      </w:r>
      <w:r w:rsidR="007C1AED">
        <w:rPr>
          <w:rFonts w:hint="cs"/>
          <w:b/>
          <w:bCs/>
          <w:rtl/>
          <w:lang w:eastAsia="zh-TW"/>
        </w:rPr>
        <w:t>ً</w:t>
      </w:r>
      <w:r w:rsidRPr="00D1159D">
        <w:rPr>
          <w:b/>
          <w:bCs/>
          <w:rtl/>
          <w:lang w:eastAsia="zh-TW"/>
        </w:rPr>
        <w:t xml:space="preserve"> يتناسب وخطورة جرائمهم. كما تحثها على أن تقدم في تقريرها الدوري المقبل بموجب الاتفاقية معلومات دقيقة عن التعويضات المدفوعة للضحايا.</w:t>
      </w:r>
      <w:r w:rsidRPr="002433E5">
        <w:rPr>
          <w:rtl/>
          <w:lang w:eastAsia="zh-TW"/>
        </w:rPr>
        <w:t xml:space="preserve"> </w:t>
      </w:r>
    </w:p>
    <w:p w:rsidR="006126DA" w:rsidRPr="002433E5" w:rsidRDefault="00D1159D" w:rsidP="00D1159D">
      <w:pPr>
        <w:pStyle w:val="HChGA"/>
        <w:rPr>
          <w:rtl/>
          <w:lang w:eastAsia="zh-TW"/>
        </w:rPr>
      </w:pPr>
      <w:r>
        <w:rPr>
          <w:rFonts w:hint="cs"/>
          <w:rtl/>
          <w:lang w:eastAsia="zh-TW"/>
        </w:rPr>
        <w:tab/>
      </w:r>
      <w:r w:rsidR="006126DA" w:rsidRPr="002433E5">
        <w:rPr>
          <w:rtl/>
          <w:lang w:eastAsia="zh-TW"/>
        </w:rPr>
        <w:t>سابعا</w:t>
      </w:r>
      <w:r>
        <w:rPr>
          <w:rFonts w:hint="cs"/>
          <w:rtl/>
          <w:lang w:eastAsia="zh-TW"/>
        </w:rPr>
        <w:t>ً</w:t>
      </w:r>
      <w:r w:rsidR="006126DA" w:rsidRPr="002433E5">
        <w:rPr>
          <w:rtl/>
        </w:rPr>
        <w:t>-</w:t>
      </w:r>
      <w:r>
        <w:rPr>
          <w:rFonts w:hint="cs"/>
          <w:rtl/>
        </w:rPr>
        <w:tab/>
      </w:r>
      <w:r w:rsidR="006126DA" w:rsidRPr="002433E5">
        <w:rPr>
          <w:rtl/>
          <w:lang w:eastAsia="zh-TW"/>
        </w:rPr>
        <w:t xml:space="preserve">المتابعة والنشر </w:t>
      </w:r>
    </w:p>
    <w:p w:rsidR="006126DA" w:rsidRPr="00D1159D" w:rsidRDefault="006126DA" w:rsidP="007C1AED">
      <w:pPr>
        <w:pStyle w:val="SingleTxtGA"/>
        <w:rPr>
          <w:b/>
          <w:bCs/>
          <w:rtl/>
          <w:lang w:eastAsia="zh-TW"/>
        </w:rPr>
      </w:pPr>
      <w:r w:rsidRPr="002433E5">
        <w:rPr>
          <w:rtl/>
        </w:rPr>
        <w:t>٢٥-</w:t>
      </w:r>
      <w:r w:rsidRPr="002433E5">
        <w:rPr>
          <w:rtl/>
        </w:rPr>
        <w:tab/>
      </w:r>
      <w:r w:rsidRPr="00D1159D">
        <w:rPr>
          <w:b/>
          <w:bCs/>
          <w:rtl/>
          <w:lang w:eastAsia="zh-TW"/>
        </w:rPr>
        <w:t>توصي اللجنة الدولة الطرف باتخاذ جميع التدابير المناسبة</w:t>
      </w:r>
      <w:r w:rsidR="00984817">
        <w:rPr>
          <w:b/>
          <w:bCs/>
          <w:rtl/>
          <w:lang w:eastAsia="zh-TW"/>
        </w:rPr>
        <w:t xml:space="preserve"> </w:t>
      </w:r>
      <w:r w:rsidRPr="00D1159D">
        <w:rPr>
          <w:b/>
          <w:bCs/>
          <w:rtl/>
          <w:lang w:eastAsia="zh-TW"/>
        </w:rPr>
        <w:t xml:space="preserve">لضمان تنفيذ هذه التوصيات بالكامل، بوسائل منها إحالتها إلى البرلمان والوزارات المعنية، مثل وزارة الدفاع، والمحكمة العليا، والسلطات المحلية للنظر فيها كما يجب اتخاذ المزيد من الإجراءات بشأنها. </w:t>
      </w:r>
    </w:p>
    <w:p w:rsidR="006126DA" w:rsidRPr="00D1159D" w:rsidRDefault="006126DA" w:rsidP="00D1159D">
      <w:pPr>
        <w:pStyle w:val="SingleTxtGA"/>
        <w:rPr>
          <w:b/>
          <w:bCs/>
          <w:rtl/>
          <w:lang w:eastAsia="zh-TW"/>
        </w:rPr>
      </w:pPr>
      <w:r w:rsidRPr="002433E5">
        <w:rPr>
          <w:rtl/>
        </w:rPr>
        <w:t>٢٦-</w:t>
      </w:r>
      <w:r w:rsidRPr="002433E5">
        <w:rPr>
          <w:rtl/>
        </w:rPr>
        <w:tab/>
      </w:r>
      <w:r w:rsidRPr="00D1159D">
        <w:rPr>
          <w:b/>
          <w:bCs/>
          <w:rtl/>
          <w:lang w:eastAsia="zh-TW"/>
        </w:rPr>
        <w:t>وتوصيها أيضا</w:t>
      </w:r>
      <w:r w:rsidR="00D1159D">
        <w:rPr>
          <w:rFonts w:hint="cs"/>
          <w:b/>
          <w:bCs/>
          <w:rtl/>
          <w:lang w:eastAsia="zh-TW"/>
        </w:rPr>
        <w:t>ً</w:t>
      </w:r>
      <w:r w:rsidRPr="00D1159D">
        <w:rPr>
          <w:b/>
          <w:bCs/>
          <w:rtl/>
          <w:lang w:eastAsia="zh-TW"/>
        </w:rPr>
        <w:t xml:space="preserve"> بأن تذيع على الناس عامة، ومنظمات المجتمع المدني، والمجموعات الشبابية، والفئات المهنية، والأطفال، عن طريق الإنترنت، على سبيل المثال لا الحصر، التقرير الأولي والردود الخطية التي قدمتها الدولة الطرف والملاحظات الختامية ذات الصلة التي اعتمدتها اللجنة، وذلك لإثارة النقاش بشأن البروتوكول الاختياري والتوعية به وتنفيذه ورصده. </w:t>
      </w:r>
    </w:p>
    <w:p w:rsidR="006126DA" w:rsidRPr="002433E5" w:rsidRDefault="006126DA" w:rsidP="00D1159D">
      <w:pPr>
        <w:pStyle w:val="HChGA"/>
        <w:rPr>
          <w:rtl/>
          <w:lang w:eastAsia="zh-TW"/>
        </w:rPr>
      </w:pPr>
      <w:r w:rsidRPr="002433E5">
        <w:rPr>
          <w:rtl/>
          <w:lang w:eastAsia="zh-TW"/>
        </w:rPr>
        <w:tab/>
        <w:t>ثامنا</w:t>
      </w:r>
      <w:r w:rsidR="00D1159D">
        <w:rPr>
          <w:rFonts w:hint="cs"/>
          <w:rtl/>
          <w:lang w:eastAsia="zh-TW"/>
        </w:rPr>
        <w:t>ً</w:t>
      </w:r>
      <w:r w:rsidR="00D1159D">
        <w:rPr>
          <w:rtl/>
          <w:lang w:eastAsia="zh-TW"/>
        </w:rPr>
        <w:t>-</w:t>
      </w:r>
      <w:r w:rsidR="00D1159D">
        <w:rPr>
          <w:rFonts w:hint="cs"/>
          <w:rtl/>
          <w:lang w:eastAsia="zh-TW"/>
        </w:rPr>
        <w:tab/>
      </w:r>
      <w:r w:rsidRPr="002433E5">
        <w:rPr>
          <w:rtl/>
          <w:lang w:eastAsia="zh-TW"/>
        </w:rPr>
        <w:t xml:space="preserve">التقرير المقبل </w:t>
      </w:r>
    </w:p>
    <w:p w:rsidR="006126DA" w:rsidRPr="00D1159D" w:rsidRDefault="006126DA" w:rsidP="00D1159D">
      <w:pPr>
        <w:pStyle w:val="SingleTxtGA"/>
        <w:rPr>
          <w:b/>
          <w:bCs/>
          <w:rtl/>
          <w:lang w:eastAsia="zh-TW"/>
        </w:rPr>
      </w:pPr>
      <w:r w:rsidRPr="002433E5">
        <w:rPr>
          <w:rtl/>
        </w:rPr>
        <w:t>٢٧-</w:t>
      </w:r>
      <w:r w:rsidRPr="002433E5">
        <w:rPr>
          <w:rtl/>
        </w:rPr>
        <w:tab/>
      </w:r>
      <w:r w:rsidRPr="00D1159D">
        <w:rPr>
          <w:b/>
          <w:bCs/>
          <w:rtl/>
          <w:lang w:eastAsia="zh-TW"/>
        </w:rPr>
        <w:t>تطلب اللجنة إلى الدولة الطرف، وفقاً للفقرة 2 من المادة 8 م</w:t>
      </w:r>
      <w:r w:rsidR="00984817">
        <w:rPr>
          <w:b/>
          <w:bCs/>
          <w:rtl/>
          <w:lang w:eastAsia="zh-TW"/>
        </w:rPr>
        <w:t>ن البروتوكول الاختياري، أن تدرج</w:t>
      </w:r>
      <w:r w:rsidRPr="00D1159D">
        <w:rPr>
          <w:b/>
          <w:bCs/>
          <w:rtl/>
          <w:lang w:eastAsia="zh-TW"/>
        </w:rPr>
        <w:t>، في تقريرها الدوري المقبل بموجب اتفاقية حقوق الطفل، وفقاً للمادة 44 من الاتفاقية، مزيداً من المعلومات عن تنفيذ البروتوكول الاختياري</w:t>
      </w:r>
      <w:r w:rsidR="00984817">
        <w:rPr>
          <w:b/>
          <w:bCs/>
          <w:rtl/>
          <w:lang w:eastAsia="zh-TW"/>
        </w:rPr>
        <w:t xml:space="preserve"> </w:t>
      </w:r>
      <w:r w:rsidRPr="00D1159D">
        <w:rPr>
          <w:b/>
          <w:bCs/>
          <w:rtl/>
          <w:lang w:eastAsia="zh-TW"/>
        </w:rPr>
        <w:t xml:space="preserve">وعن هذه الملاحظات الختامية. </w:t>
      </w:r>
    </w:p>
    <w:p w:rsidR="007804C7" w:rsidRPr="007804C7" w:rsidRDefault="007804C7" w:rsidP="007804C7">
      <w:pPr>
        <w:spacing w:before="120"/>
        <w:jc w:val="center"/>
        <w:rPr>
          <w:u w:val="single"/>
          <w:rtl/>
          <w:lang w:bidi="ar-SY"/>
        </w:rPr>
      </w:pPr>
      <w:r>
        <w:rPr>
          <w:u w:val="single"/>
          <w:rtl/>
          <w:lang w:bidi="ar-SY"/>
        </w:rPr>
        <w:tab/>
      </w:r>
      <w:r>
        <w:rPr>
          <w:u w:val="single"/>
          <w:rtl/>
          <w:lang w:bidi="ar-SY"/>
        </w:rPr>
        <w:tab/>
      </w:r>
      <w:r>
        <w:rPr>
          <w:u w:val="single"/>
          <w:rtl/>
          <w:lang w:bidi="ar-SY"/>
        </w:rPr>
        <w:tab/>
      </w:r>
    </w:p>
    <w:sectPr w:rsidR="007804C7" w:rsidRPr="007804C7" w:rsidSect="007804C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24" w:rsidRPr="002901D9" w:rsidRDefault="00372424" w:rsidP="002901D9">
      <w:pPr>
        <w:spacing w:after="60" w:line="240" w:lineRule="auto"/>
        <w:rPr>
          <w:i/>
          <w:iCs/>
        </w:rPr>
      </w:pPr>
      <w:r>
        <w:rPr>
          <w:rFonts w:hint="cs"/>
          <w:i/>
          <w:iCs/>
          <w:rtl/>
        </w:rPr>
        <w:t>الحواشي</w:t>
      </w:r>
    </w:p>
  </w:endnote>
  <w:endnote w:type="continuationSeparator" w:id="0">
    <w:p w:rsidR="00372424" w:rsidRDefault="0037242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39T30Lfz">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C7" w:rsidRPr="007804C7" w:rsidRDefault="007804C7" w:rsidP="007804C7">
    <w:pPr>
      <w:pStyle w:val="Pidipagina"/>
      <w:tabs>
        <w:tab w:val="right" w:pos="9598"/>
      </w:tabs>
    </w:pPr>
    <w:r>
      <w:t>GE.14-21346</w:t>
    </w:r>
    <w:r>
      <w:tab/>
    </w:r>
    <w:r w:rsidRPr="007804C7">
      <w:rPr>
        <w:b/>
        <w:sz w:val="18"/>
      </w:rPr>
      <w:fldChar w:fldCharType="begin"/>
    </w:r>
    <w:r w:rsidRPr="007804C7">
      <w:rPr>
        <w:b/>
        <w:sz w:val="18"/>
      </w:rPr>
      <w:instrText xml:space="preserve"> PAGE  \* MERGEFORMAT </w:instrText>
    </w:r>
    <w:r w:rsidRPr="007804C7">
      <w:rPr>
        <w:b/>
        <w:sz w:val="18"/>
      </w:rPr>
      <w:fldChar w:fldCharType="separate"/>
    </w:r>
    <w:r w:rsidR="004671D9">
      <w:rPr>
        <w:b/>
        <w:noProof/>
        <w:sz w:val="18"/>
      </w:rPr>
      <w:t>6</w:t>
    </w:r>
    <w:r w:rsidRPr="007804C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7804C7" w:rsidRDefault="007804C7" w:rsidP="006959B0">
    <w:pPr>
      <w:pStyle w:val="Pidipagina"/>
      <w:tabs>
        <w:tab w:val="right" w:pos="9599"/>
      </w:tabs>
      <w:jc w:val="left"/>
      <w:rPr>
        <w:b/>
        <w:sz w:val="18"/>
        <w:lang w:val="en-US"/>
      </w:rPr>
    </w:pPr>
    <w:r w:rsidRPr="007804C7">
      <w:rPr>
        <w:b/>
        <w:sz w:val="18"/>
        <w:lang w:val="en-US"/>
      </w:rPr>
      <w:fldChar w:fldCharType="begin"/>
    </w:r>
    <w:r w:rsidRPr="007804C7">
      <w:rPr>
        <w:b/>
        <w:sz w:val="18"/>
        <w:lang w:val="en-US"/>
      </w:rPr>
      <w:instrText xml:space="preserve"> PAGE  \* MERGEFORMAT </w:instrText>
    </w:r>
    <w:r w:rsidRPr="007804C7">
      <w:rPr>
        <w:b/>
        <w:sz w:val="18"/>
        <w:lang w:val="en-US"/>
      </w:rPr>
      <w:fldChar w:fldCharType="separate"/>
    </w:r>
    <w:r w:rsidR="004671D9">
      <w:rPr>
        <w:b/>
        <w:noProof/>
        <w:sz w:val="18"/>
        <w:lang w:val="en-US"/>
      </w:rPr>
      <w:t>5</w:t>
    </w:r>
    <w:r w:rsidRPr="007804C7">
      <w:rPr>
        <w:b/>
        <w:sz w:val="18"/>
        <w:lang w:val="en-US"/>
      </w:rPr>
      <w:fldChar w:fldCharType="end"/>
    </w:r>
    <w:r>
      <w:rPr>
        <w:b/>
        <w:sz w:val="18"/>
        <w:lang w:val="en-US"/>
      </w:rPr>
      <w:tab/>
    </w:r>
    <w:r>
      <w:rPr>
        <w:lang w:val="en-US"/>
      </w:rPr>
      <w:t>GE.14-21346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7804C7" w:rsidP="007804C7">
    <w:pPr>
      <w:pStyle w:val="Pidipagina"/>
      <w:jc w:val="right"/>
    </w:pPr>
    <w:r>
      <w:rPr>
        <w:sz w:val="20"/>
      </w:rPr>
      <w:t>(A)   GE.14-21346</w:t>
    </w:r>
    <w:r w:rsidR="003724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PleaseRecycleArabic" style="position:absolute;left:0;text-align:left;margin-left:60.15pt;margin-top:645.95pt;width:91.5pt;height:25.5pt;z-index:-1;visibility:visible;mso-position-horizontal-relative:margin;mso-position-vertical-relative:margin" wrapcoords="-177 0 -177 20965 21600 20965 21600 0 -177 0" o:allowincell="f">
          <v:imagedata r:id="rId1" o:title="PleaseRecycleArabic" croptop="2992f" cropbottom="2992f"/>
          <w10:wrap type="tight" anchorx="margin" anchory="margin"/>
          <w10:anchorlock/>
        </v:shape>
      </w:pict>
    </w:r>
    <w:r w:rsidR="006126DA">
      <w:rPr>
        <w:sz w:val="20"/>
      </w:rPr>
      <w:t xml:space="preserve">    111214    111214</w:t>
    </w:r>
    <w:r w:rsidR="00B71345">
      <w:br/>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sidRPr="00B71345">
      <w:rPr>
        <w:rFonts w:ascii="C39T30Lfz" w:hAnsi="C39T30Lfz"/>
        <w:sz w:val="56"/>
      </w:rPr>
      <w:t></w:t>
    </w:r>
    <w:r w:rsidR="00B71345">
      <w:rPr>
        <w:rFonts w:ascii="C39T30Lfz" w:hAnsi="C39T30Lfz"/>
        <w:sz w:val="56"/>
      </w:rPr>
      <w:tab/>
    </w:r>
    <w:r w:rsidR="00372424">
      <w:rPr>
        <w:noProof/>
        <w:lang w:val="en-US"/>
      </w:rPr>
      <w:pict>
        <v:shape id="_x0000_s2050" type="#_x0000_t75" style="position:absolute;left:0;text-align:left;margin-left:.05pt;margin-top:0;width:50.25pt;height:50.25pt;z-index:1;mso-position-horizontal-relative:text;mso-position-vertical-relative:text">
          <v:imagedata r:id="rId2" o:title="1&amp;Size=2&amp;Lang=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24" w:rsidRDefault="00372424" w:rsidP="00CB28F9">
      <w:pPr>
        <w:pStyle w:val="Pidipagina"/>
        <w:bidi/>
        <w:spacing w:after="80" w:line="200" w:lineRule="exact"/>
        <w:ind w:left="680"/>
      </w:pPr>
      <w:r>
        <w:rPr>
          <w:rtl/>
        </w:rPr>
        <w:t>__________</w:t>
      </w:r>
    </w:p>
  </w:footnote>
  <w:footnote w:type="continuationSeparator" w:id="0">
    <w:p w:rsidR="00372424" w:rsidRDefault="00372424" w:rsidP="00656392">
      <w:pPr>
        <w:spacing w:line="240" w:lineRule="auto"/>
      </w:pPr>
      <w:r>
        <w:continuationSeparator/>
      </w:r>
    </w:p>
  </w:footnote>
  <w:footnote w:id="1">
    <w:p w:rsidR="003F3B62" w:rsidRPr="003F3B62" w:rsidRDefault="003F3B62" w:rsidP="00B71345">
      <w:pPr>
        <w:pStyle w:val="FootnoteText1"/>
        <w:spacing w:after="240"/>
        <w:ind w:left="1248" w:hanging="397"/>
        <w:rPr>
          <w:lang w:bidi="ar-SY"/>
        </w:rPr>
      </w:pPr>
      <w:r>
        <w:rPr>
          <w:rtl/>
          <w:lang w:bidi="ar-SY"/>
        </w:rPr>
        <w:t>*</w:t>
      </w:r>
      <w:r>
        <w:rPr>
          <w:rtl/>
          <w:lang w:bidi="ar-SY"/>
        </w:rPr>
        <w:tab/>
      </w:r>
      <w:r w:rsidRPr="003F3B62">
        <w:rPr>
          <w:rStyle w:val="Rimandonotaapidipagina"/>
          <w:rFonts w:ascii="Traditional Arabic" w:hAnsi="Traditional Arabic"/>
          <w:sz w:val="26"/>
          <w:szCs w:val="26"/>
          <w:vertAlign w:val="baseline"/>
          <w:rtl/>
          <w:lang w:eastAsia="zh-TW"/>
        </w:rPr>
        <w:t>اعتمدتها اللجنة في دورتها السابعة والستين (</w:t>
      </w:r>
      <w:r w:rsidRPr="003F3B62">
        <w:rPr>
          <w:rFonts w:ascii="Traditional Arabic" w:hAnsi="Traditional Arabic"/>
          <w:sz w:val="26"/>
          <w:rtl/>
          <w:lang w:eastAsia="zh-TW"/>
        </w:rPr>
        <w:t xml:space="preserve">1-19 </w:t>
      </w:r>
      <w:r w:rsidRPr="003F3B62">
        <w:rPr>
          <w:rStyle w:val="Rimandonotaapidipagina"/>
          <w:rFonts w:ascii="Traditional Arabic" w:hAnsi="Traditional Arabic"/>
          <w:sz w:val="26"/>
          <w:szCs w:val="26"/>
          <w:vertAlign w:val="baseline"/>
          <w:rtl/>
          <w:lang w:eastAsia="zh-TW"/>
        </w:rPr>
        <w:t>أيلول</w:t>
      </w:r>
      <w:r w:rsidRPr="003F3B62">
        <w:rPr>
          <w:rStyle w:val="Rimandonotaapidipagina"/>
          <w:rFonts w:ascii="Traditional Arabic" w:hAnsi="Traditional Arabic"/>
          <w:sz w:val="26"/>
          <w:szCs w:val="26"/>
          <w:vertAlign w:val="baseline"/>
          <w:lang w:eastAsia="zh-TW"/>
        </w:rPr>
        <w:t>/</w:t>
      </w:r>
      <w:r w:rsidRPr="003F3B62">
        <w:rPr>
          <w:rStyle w:val="Rimandonotaapidipagina"/>
          <w:rFonts w:ascii="Traditional Arabic" w:hAnsi="Traditional Arabic"/>
          <w:sz w:val="26"/>
          <w:szCs w:val="26"/>
          <w:vertAlign w:val="baseline"/>
          <w:rtl/>
          <w:lang w:eastAsia="zh-TW"/>
        </w:rPr>
        <w:t>سبتمبر 2014)</w:t>
      </w:r>
      <w:r w:rsidRPr="003F3B62">
        <w:rPr>
          <w:rStyle w:val="Rimandonotaapidipagina"/>
          <w:rFonts w:ascii="Traditional Arabic" w:hAnsi="Traditional Arabic"/>
          <w:sz w:val="26"/>
          <w:szCs w:val="26"/>
          <w:vertAlign w:val="baseline"/>
          <w:lang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C7" w:rsidRPr="007804C7" w:rsidRDefault="007804C7" w:rsidP="007804C7">
    <w:pPr>
      <w:pStyle w:val="Intestazione"/>
      <w:jc w:val="right"/>
    </w:pPr>
    <w:r w:rsidRPr="007804C7">
      <w:t>CRC/C/OPAC/MAR/CO/1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C7" w:rsidRPr="007804C7" w:rsidRDefault="007804C7" w:rsidP="007804C7">
    <w:pPr>
      <w:pStyle w:val="Intestazione"/>
      <w:jc w:val="left"/>
    </w:pPr>
    <w:r w:rsidRPr="007804C7">
      <w:t>CRC/C/OPAC/MAR/CO/1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567"/>
  <w:hyphenationZone w:val="283"/>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DC3"/>
    <w:rsid w:val="000076D5"/>
    <w:rsid w:val="00043663"/>
    <w:rsid w:val="000505CF"/>
    <w:rsid w:val="000D701C"/>
    <w:rsid w:val="000E2A71"/>
    <w:rsid w:val="00160263"/>
    <w:rsid w:val="00181F96"/>
    <w:rsid w:val="001A1371"/>
    <w:rsid w:val="001B346A"/>
    <w:rsid w:val="001E1922"/>
    <w:rsid w:val="001E1CAD"/>
    <w:rsid w:val="001E290D"/>
    <w:rsid w:val="002144FA"/>
    <w:rsid w:val="0023469A"/>
    <w:rsid w:val="00243C8A"/>
    <w:rsid w:val="00267A0E"/>
    <w:rsid w:val="002901D9"/>
    <w:rsid w:val="002976C2"/>
    <w:rsid w:val="002D2D42"/>
    <w:rsid w:val="003260FF"/>
    <w:rsid w:val="00343D95"/>
    <w:rsid w:val="003576E0"/>
    <w:rsid w:val="00372424"/>
    <w:rsid w:val="00374341"/>
    <w:rsid w:val="003C50EA"/>
    <w:rsid w:val="003D1062"/>
    <w:rsid w:val="003F3B62"/>
    <w:rsid w:val="00420D7B"/>
    <w:rsid w:val="00436A0B"/>
    <w:rsid w:val="00450B21"/>
    <w:rsid w:val="00453B63"/>
    <w:rsid w:val="00455780"/>
    <w:rsid w:val="0045649E"/>
    <w:rsid w:val="004671D9"/>
    <w:rsid w:val="004A14A6"/>
    <w:rsid w:val="004B0A1C"/>
    <w:rsid w:val="004B521F"/>
    <w:rsid w:val="004D298E"/>
    <w:rsid w:val="00523BAE"/>
    <w:rsid w:val="0054472E"/>
    <w:rsid w:val="005662A9"/>
    <w:rsid w:val="005827D4"/>
    <w:rsid w:val="0059622A"/>
    <w:rsid w:val="005B569D"/>
    <w:rsid w:val="005C5878"/>
    <w:rsid w:val="005C7CEA"/>
    <w:rsid w:val="005D3C0B"/>
    <w:rsid w:val="005E5217"/>
    <w:rsid w:val="005F0FA4"/>
    <w:rsid w:val="005F30EE"/>
    <w:rsid w:val="0060473A"/>
    <w:rsid w:val="006126DA"/>
    <w:rsid w:val="00656392"/>
    <w:rsid w:val="0068781D"/>
    <w:rsid w:val="006959B0"/>
    <w:rsid w:val="006B3E27"/>
    <w:rsid w:val="006B6507"/>
    <w:rsid w:val="006C104C"/>
    <w:rsid w:val="007219C5"/>
    <w:rsid w:val="00733704"/>
    <w:rsid w:val="007804C7"/>
    <w:rsid w:val="0078071A"/>
    <w:rsid w:val="007C1AED"/>
    <w:rsid w:val="00852A9A"/>
    <w:rsid w:val="008F49E1"/>
    <w:rsid w:val="0090370F"/>
    <w:rsid w:val="009269D2"/>
    <w:rsid w:val="00936DC3"/>
    <w:rsid w:val="00942135"/>
    <w:rsid w:val="009521B0"/>
    <w:rsid w:val="009700A8"/>
    <w:rsid w:val="00971702"/>
    <w:rsid w:val="00984817"/>
    <w:rsid w:val="00994130"/>
    <w:rsid w:val="009A7E9F"/>
    <w:rsid w:val="009E5018"/>
    <w:rsid w:val="00A12B37"/>
    <w:rsid w:val="00A65558"/>
    <w:rsid w:val="00AB6758"/>
    <w:rsid w:val="00B07B45"/>
    <w:rsid w:val="00B12F95"/>
    <w:rsid w:val="00B13763"/>
    <w:rsid w:val="00B477A4"/>
    <w:rsid w:val="00B54045"/>
    <w:rsid w:val="00B71345"/>
    <w:rsid w:val="00BB060F"/>
    <w:rsid w:val="00BC3058"/>
    <w:rsid w:val="00C438D7"/>
    <w:rsid w:val="00C81B50"/>
    <w:rsid w:val="00CB28F9"/>
    <w:rsid w:val="00CD1801"/>
    <w:rsid w:val="00D10EF1"/>
    <w:rsid w:val="00D1159D"/>
    <w:rsid w:val="00D42810"/>
    <w:rsid w:val="00D914A7"/>
    <w:rsid w:val="00D9660D"/>
    <w:rsid w:val="00DB626A"/>
    <w:rsid w:val="00DD13C3"/>
    <w:rsid w:val="00DD596E"/>
    <w:rsid w:val="00DD621E"/>
    <w:rsid w:val="00DF0575"/>
    <w:rsid w:val="00E11F57"/>
    <w:rsid w:val="00E70E04"/>
    <w:rsid w:val="00E76499"/>
    <w:rsid w:val="00EC05A7"/>
    <w:rsid w:val="00EC4B6B"/>
    <w:rsid w:val="00EE384F"/>
    <w:rsid w:val="00EF1EE5"/>
    <w:rsid w:val="00F763B4"/>
    <w:rsid w:val="00F900C3"/>
    <w:rsid w:val="00FD2424"/>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6B3E27"/>
    <w:pPr>
      <w:bidi/>
      <w:spacing w:line="240" w:lineRule="atLeast"/>
      <w:jc w:val="lowKashida"/>
    </w:pPr>
    <w:rPr>
      <w:rFonts w:ascii="Times New Roman" w:hAnsi="Times New Roman" w:cs="Traditional Arabic"/>
      <w:szCs w:val="30"/>
      <w:lang w:val="en-US" w:eastAsia="en-US"/>
    </w:rPr>
  </w:style>
  <w:style w:type="paragraph" w:styleId="Titolo1">
    <w:name w:val="heading 1"/>
    <w:aliases w:val="Table_GA"/>
    <w:basedOn w:val="SingleTxtGA"/>
    <w:next w:val="Normale"/>
    <w:link w:val="Titolo1Carattere"/>
    <w:qFormat/>
    <w:rsid w:val="00AB6758"/>
    <w:pPr>
      <w:suppressAutoHyphens/>
      <w:bidi w:val="0"/>
      <w:outlineLvl w:val="0"/>
    </w:pPr>
    <w:rPr>
      <w:rFonts w:cs="Times New Roman"/>
    </w:rPr>
  </w:style>
  <w:style w:type="paragraph" w:styleId="Titolo2">
    <w:name w:val="heading 2"/>
    <w:basedOn w:val="Normale"/>
    <w:next w:val="Normale"/>
    <w:link w:val="Titolo2Carattere"/>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Titolo3">
    <w:name w:val="heading 3"/>
    <w:basedOn w:val="Normale"/>
    <w:next w:val="Normale"/>
    <w:link w:val="Titolo3Carattere"/>
    <w:uiPriority w:val="9"/>
    <w:unhideWhenUsed/>
    <w:rsid w:val="00EC4B6B"/>
    <w:pPr>
      <w:keepNext/>
      <w:keepLines/>
      <w:spacing w:before="200"/>
      <w:outlineLvl w:val="2"/>
    </w:pPr>
    <w:rPr>
      <w:rFonts w:ascii="Cambria" w:eastAsia="SimSun" w:hAnsi="Cambria" w:cs="Times New Roman"/>
      <w:b/>
      <w:bCs/>
      <w:color w:val="4F81BD"/>
    </w:rPr>
  </w:style>
  <w:style w:type="paragraph" w:styleId="Titolo4">
    <w:name w:val="heading 4"/>
    <w:basedOn w:val="Normale"/>
    <w:next w:val="Normale"/>
    <w:link w:val="Titolo4Carattere"/>
    <w:uiPriority w:val="9"/>
    <w:unhideWhenUsed/>
    <w:rsid w:val="00EC4B6B"/>
    <w:pPr>
      <w:keepNext/>
      <w:keepLines/>
      <w:spacing w:before="200"/>
      <w:outlineLvl w:val="3"/>
    </w:pPr>
    <w:rPr>
      <w:rFonts w:ascii="Cambria" w:eastAsia="SimSun" w:hAnsi="Cambria" w:cs="Times New Roman"/>
      <w:b/>
      <w:bCs/>
      <w:i/>
      <w:iCs/>
      <w:color w:val="4F81BD"/>
    </w:rPr>
  </w:style>
  <w:style w:type="paragraph" w:styleId="Titolo5">
    <w:name w:val="heading 5"/>
    <w:basedOn w:val="Normale"/>
    <w:next w:val="Normale"/>
    <w:link w:val="Titolo5Carattere"/>
    <w:uiPriority w:val="9"/>
    <w:unhideWhenUsed/>
    <w:rsid w:val="00EC4B6B"/>
    <w:pPr>
      <w:keepNext/>
      <w:keepLines/>
      <w:spacing w:before="200"/>
      <w:outlineLvl w:val="4"/>
    </w:pPr>
    <w:rPr>
      <w:rFonts w:ascii="Cambria" w:eastAsia="SimSun" w:hAnsi="Cambria" w:cs="Times New Roman"/>
      <w:color w:val="243F60"/>
    </w:rPr>
  </w:style>
  <w:style w:type="paragraph" w:styleId="Titolo6">
    <w:name w:val="heading 6"/>
    <w:basedOn w:val="Normale"/>
    <w:next w:val="Normale"/>
    <w:link w:val="Titolo6Carattere"/>
    <w:uiPriority w:val="9"/>
    <w:unhideWhenUsed/>
    <w:rsid w:val="00EC4B6B"/>
    <w:pPr>
      <w:keepNext/>
      <w:keepLines/>
      <w:spacing w:before="200"/>
      <w:outlineLvl w:val="5"/>
    </w:pPr>
    <w:rPr>
      <w:rFonts w:ascii="Cambria" w:eastAsia="SimSun" w:hAnsi="Cambria" w:cs="Times New Roman"/>
      <w:i/>
      <w:iCs/>
      <w:color w:val="243F60"/>
    </w:rPr>
  </w:style>
  <w:style w:type="paragraph" w:styleId="Titolo7">
    <w:name w:val="heading 7"/>
    <w:basedOn w:val="Normale"/>
    <w:next w:val="Normale"/>
    <w:link w:val="Titolo7Carattere"/>
    <w:uiPriority w:val="9"/>
    <w:unhideWhenUsed/>
    <w:rsid w:val="00EC4B6B"/>
    <w:pPr>
      <w:keepNext/>
      <w:keepLines/>
      <w:spacing w:before="200"/>
      <w:outlineLvl w:val="6"/>
    </w:pPr>
    <w:rPr>
      <w:rFonts w:ascii="Cambria" w:eastAsia="SimSun" w:hAnsi="Cambria" w:cs="Times New Roman"/>
      <w:i/>
      <w:iCs/>
      <w:color w:val="404040"/>
    </w:rPr>
  </w:style>
  <w:style w:type="paragraph" w:styleId="Titolo8">
    <w:name w:val="heading 8"/>
    <w:basedOn w:val="Normale"/>
    <w:next w:val="Normale"/>
    <w:link w:val="Titolo8Carattere"/>
    <w:uiPriority w:val="9"/>
    <w:unhideWhenUsed/>
    <w:rsid w:val="00EC4B6B"/>
    <w:pPr>
      <w:keepNext/>
      <w:keepLines/>
      <w:spacing w:before="200"/>
      <w:outlineLvl w:val="7"/>
    </w:pPr>
    <w:rPr>
      <w:rFonts w:ascii="Cambria" w:eastAsia="SimSun" w:hAnsi="Cambria" w:cs="Times New Roman"/>
      <w:color w:val="404040"/>
      <w:szCs w:val="20"/>
    </w:rPr>
  </w:style>
  <w:style w:type="paragraph" w:styleId="Titolo9">
    <w:name w:val="heading 9"/>
    <w:basedOn w:val="Normale"/>
    <w:next w:val="Normale"/>
    <w:link w:val="Titolo9Carattere"/>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5_G"/>
    <w:basedOn w:val="Normale"/>
    <w:link w:val="TestonotaapidipaginaCarattere"/>
    <w:unhideWhenUsed/>
    <w:rsid w:val="001A1371"/>
    <w:pPr>
      <w:spacing w:line="240" w:lineRule="auto"/>
    </w:pPr>
    <w:rPr>
      <w:rFonts w:ascii="Calibri" w:hAnsi="Calibri" w:cs="Times New Roman"/>
      <w:szCs w:val="20"/>
    </w:rPr>
  </w:style>
  <w:style w:type="character" w:customStyle="1" w:styleId="TestonotaapidipaginaCarattere">
    <w:name w:val="Testo nota a piè di pagina Carattere"/>
    <w:aliases w:val="5_G Carattere"/>
    <w:link w:val="Testonotaapidipagina"/>
    <w:rsid w:val="001A1371"/>
    <w:rPr>
      <w:sz w:val="20"/>
      <w:szCs w:val="20"/>
    </w:rPr>
  </w:style>
  <w:style w:type="character" w:styleId="Rimandonotaapidipagina">
    <w:name w:val="footnote reference"/>
    <w:aliases w:val="4_GA,4_G"/>
    <w:qFormat/>
    <w:rsid w:val="00AB6758"/>
    <w:rPr>
      <w:rFonts w:ascii="Times New Roman" w:hAnsi="Times New Roman" w:cs="Traditional Arabic"/>
      <w:b/>
      <w:kern w:val="0"/>
      <w:sz w:val="18"/>
      <w:szCs w:val="28"/>
      <w:vertAlign w:val="superscript"/>
    </w:rPr>
  </w:style>
  <w:style w:type="paragraph" w:customStyle="1" w:styleId="HMGA">
    <w:name w:val="_ H __M_GA"/>
    <w:basedOn w:val="Normale"/>
    <w:next w:val="Normale"/>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e"/>
    <w:next w:val="Normale"/>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e"/>
    <w:next w:val="Normale"/>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e"/>
    <w:next w:val="Normale"/>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e"/>
    <w:next w:val="Normale"/>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e"/>
    <w:next w:val="Normale"/>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e"/>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e"/>
    <w:next w:val="Normale"/>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e"/>
    <w:next w:val="Normale"/>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e"/>
    <w:next w:val="Normale"/>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e"/>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e"/>
    <w:qFormat/>
    <w:rsid w:val="00F900C3"/>
    <w:pPr>
      <w:numPr>
        <w:numId w:val="8"/>
      </w:numPr>
      <w:suppressAutoHyphens/>
      <w:bidi w:val="0"/>
      <w:spacing w:after="120" w:line="380" w:lineRule="exact"/>
      <w:ind w:right="1247"/>
    </w:pPr>
  </w:style>
  <w:style w:type="paragraph" w:customStyle="1" w:styleId="Bullet2GA">
    <w:name w:val="_Bullet 2_GA"/>
    <w:basedOn w:val="Normale"/>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e"/>
    <w:qFormat/>
    <w:rsid w:val="00F900C3"/>
    <w:pPr>
      <w:numPr>
        <w:numId w:val="11"/>
      </w:numPr>
    </w:pPr>
  </w:style>
  <w:style w:type="paragraph" w:styleId="Testonotadichiusura">
    <w:name w:val="endnote text"/>
    <w:aliases w:val="2_ GA"/>
    <w:basedOn w:val="Normale"/>
    <w:link w:val="TestonotadichiusuraCarattere"/>
    <w:qFormat/>
    <w:rsid w:val="00AB6758"/>
    <w:pPr>
      <w:tabs>
        <w:tab w:val="right" w:pos="1021"/>
      </w:tabs>
      <w:spacing w:after="120" w:line="300" w:lineRule="exact"/>
      <w:ind w:left="1247" w:right="1247" w:hanging="1247"/>
    </w:pPr>
    <w:rPr>
      <w:rFonts w:cs="Times New Roman"/>
      <w:sz w:val="18"/>
      <w:szCs w:val="26"/>
    </w:rPr>
  </w:style>
  <w:style w:type="character" w:customStyle="1" w:styleId="TestonotadichiusuraCarattere">
    <w:name w:val="Testo nota di chiusura Carattere"/>
    <w:aliases w:val="2_ GA Carattere"/>
    <w:link w:val="Testonotadichiusura"/>
    <w:rsid w:val="00AB6758"/>
    <w:rPr>
      <w:rFonts w:ascii="Times New Roman" w:eastAsia="Times New Roman" w:hAnsi="Times New Roman" w:cs="Traditional Arabic"/>
      <w:sz w:val="18"/>
      <w:szCs w:val="26"/>
    </w:rPr>
  </w:style>
  <w:style w:type="character" w:customStyle="1" w:styleId="EndtnoteReference">
    <w:name w:val="Endtnote Reference"/>
    <w:aliases w:val="1_GA"/>
    <w:qFormat/>
    <w:rsid w:val="00F900C3"/>
    <w:rPr>
      <w:rFonts w:ascii="Times New Roman" w:hAnsi="Times New Roman" w:cs="Traditional Arabic"/>
      <w:b/>
      <w:kern w:val="0"/>
      <w:sz w:val="18"/>
      <w:szCs w:val="28"/>
      <w:vertAlign w:val="superscript"/>
    </w:rPr>
  </w:style>
  <w:style w:type="paragraph" w:styleId="Pidipagina">
    <w:name w:val="footer"/>
    <w:aliases w:val="3_GA,3_G"/>
    <w:basedOn w:val="Normale"/>
    <w:link w:val="PidipaginaCarattere"/>
    <w:qFormat/>
    <w:rsid w:val="00AB6758"/>
    <w:pPr>
      <w:suppressAutoHyphens/>
      <w:bidi w:val="0"/>
      <w:spacing w:line="240" w:lineRule="auto"/>
    </w:pPr>
    <w:rPr>
      <w:rFonts w:cs="Times New Roman"/>
      <w:sz w:val="16"/>
      <w:szCs w:val="20"/>
      <w:lang w:val="en-GB"/>
    </w:rPr>
  </w:style>
  <w:style w:type="character" w:customStyle="1" w:styleId="PidipaginaCarattere">
    <w:name w:val="Piè di pagina Carattere"/>
    <w:aliases w:val="3_GA Carattere,3_G Carattere"/>
    <w:link w:val="Pidipagina"/>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e"/>
    <w:qFormat/>
    <w:rsid w:val="00994130"/>
    <w:pPr>
      <w:spacing w:after="60" w:line="300" w:lineRule="exact"/>
      <w:ind w:left="1247" w:right="1247" w:hanging="567"/>
    </w:pPr>
    <w:rPr>
      <w:sz w:val="18"/>
      <w:szCs w:val="26"/>
    </w:rPr>
  </w:style>
  <w:style w:type="paragraph" w:styleId="Intestazione">
    <w:name w:val="header"/>
    <w:aliases w:val="6_GA"/>
    <w:basedOn w:val="Normale"/>
    <w:link w:val="IntestazioneCarattere"/>
    <w:qFormat/>
    <w:rsid w:val="00AB6758"/>
    <w:pPr>
      <w:pBdr>
        <w:bottom w:val="single" w:sz="4" w:space="4" w:color="auto"/>
      </w:pBdr>
      <w:suppressAutoHyphens/>
      <w:bidi w:val="0"/>
    </w:pPr>
    <w:rPr>
      <w:rFonts w:cs="Times New Roman"/>
      <w:b/>
      <w:bCs/>
      <w:sz w:val="18"/>
      <w:szCs w:val="26"/>
    </w:rPr>
  </w:style>
  <w:style w:type="character" w:customStyle="1" w:styleId="IntestazioneCarattere">
    <w:name w:val="Intestazione Carattere"/>
    <w:aliases w:val="6_GA Carattere"/>
    <w:link w:val="Intestazione"/>
    <w:rsid w:val="00AB6758"/>
    <w:rPr>
      <w:rFonts w:ascii="Times New Roman" w:eastAsia="Times New Roman" w:hAnsi="Times New Roman" w:cs="Traditional Arabic"/>
      <w:b/>
      <w:bCs/>
      <w:sz w:val="18"/>
      <w:szCs w:val="26"/>
    </w:rPr>
  </w:style>
  <w:style w:type="character" w:customStyle="1" w:styleId="Titolo1Carattere">
    <w:name w:val="Titolo 1 Carattere"/>
    <w:aliases w:val="Table_GA Carattere"/>
    <w:link w:val="Titolo1"/>
    <w:rsid w:val="00AB6758"/>
    <w:rPr>
      <w:rFonts w:ascii="Times New Roman" w:eastAsia="Times New Roman" w:hAnsi="Times New Roman" w:cs="Traditional Arabic"/>
      <w:sz w:val="20"/>
      <w:szCs w:val="30"/>
    </w:rPr>
  </w:style>
  <w:style w:type="character" w:styleId="Numeropagina">
    <w:name w:val="page number"/>
    <w:aliases w:val="7_GA"/>
    <w:qFormat/>
    <w:rsid w:val="00AB6758"/>
    <w:rPr>
      <w:rFonts w:ascii="Times New Roman" w:hAnsi="Times New Roman"/>
      <w:b/>
      <w:sz w:val="18"/>
    </w:rPr>
  </w:style>
  <w:style w:type="paragraph" w:customStyle="1" w:styleId="XXLargeGA">
    <w:name w:val="XXLarge_GA"/>
    <w:basedOn w:val="XLargeGA"/>
    <w:next w:val="Normale"/>
    <w:qFormat/>
    <w:rsid w:val="00AB6758"/>
    <w:pPr>
      <w:spacing w:line="820" w:lineRule="exact"/>
    </w:pPr>
    <w:rPr>
      <w:spacing w:val="-8"/>
      <w:w w:val="96"/>
      <w:sz w:val="57"/>
      <w:szCs w:val="86"/>
    </w:rPr>
  </w:style>
  <w:style w:type="character" w:customStyle="1" w:styleId="Titolo2Carattere">
    <w:name w:val="Titolo 2 Carattere"/>
    <w:link w:val="Titolo2"/>
    <w:uiPriority w:val="9"/>
    <w:rsid w:val="00455780"/>
    <w:rPr>
      <w:rFonts w:ascii="Cambria" w:eastAsia="SimSun" w:hAnsi="Cambria" w:cs="Times New Roman"/>
      <w:b/>
      <w:bCs/>
      <w:color w:val="4F81BD"/>
      <w:sz w:val="26"/>
      <w:szCs w:val="26"/>
    </w:rPr>
  </w:style>
  <w:style w:type="character" w:styleId="Titolodellibro">
    <w:name w:val="Book Title"/>
    <w:uiPriority w:val="33"/>
    <w:rsid w:val="00455780"/>
    <w:rPr>
      <w:b/>
      <w:bCs/>
      <w:smallCaps/>
      <w:spacing w:val="5"/>
    </w:rPr>
  </w:style>
  <w:style w:type="character" w:customStyle="1" w:styleId="Titolo3Carattere">
    <w:name w:val="Titolo 3 Carattere"/>
    <w:link w:val="Titolo3"/>
    <w:uiPriority w:val="9"/>
    <w:rsid w:val="00EC4B6B"/>
    <w:rPr>
      <w:rFonts w:ascii="Cambria" w:eastAsia="SimSun" w:hAnsi="Cambria" w:cs="Times New Roman"/>
      <w:b/>
      <w:bCs/>
      <w:color w:val="4F81BD"/>
      <w:sz w:val="20"/>
      <w:szCs w:val="30"/>
    </w:rPr>
  </w:style>
  <w:style w:type="character" w:customStyle="1" w:styleId="Titolo4Carattere">
    <w:name w:val="Titolo 4 Carattere"/>
    <w:link w:val="Titolo4"/>
    <w:uiPriority w:val="9"/>
    <w:rsid w:val="00EC4B6B"/>
    <w:rPr>
      <w:rFonts w:ascii="Cambria" w:eastAsia="SimSun" w:hAnsi="Cambria" w:cs="Times New Roman"/>
      <w:b/>
      <w:bCs/>
      <w:i/>
      <w:iCs/>
      <w:color w:val="4F81BD"/>
      <w:sz w:val="20"/>
      <w:szCs w:val="30"/>
    </w:rPr>
  </w:style>
  <w:style w:type="character" w:customStyle="1" w:styleId="Titolo5Carattere">
    <w:name w:val="Titolo 5 Carattere"/>
    <w:link w:val="Titolo5"/>
    <w:uiPriority w:val="9"/>
    <w:rsid w:val="00EC4B6B"/>
    <w:rPr>
      <w:rFonts w:ascii="Cambria" w:eastAsia="SimSun" w:hAnsi="Cambria" w:cs="Times New Roman"/>
      <w:color w:val="243F60"/>
      <w:sz w:val="20"/>
      <w:szCs w:val="30"/>
    </w:rPr>
  </w:style>
  <w:style w:type="character" w:customStyle="1" w:styleId="Titolo6Carattere">
    <w:name w:val="Titolo 6 Carattere"/>
    <w:link w:val="Titolo6"/>
    <w:uiPriority w:val="9"/>
    <w:rsid w:val="00EC4B6B"/>
    <w:rPr>
      <w:rFonts w:ascii="Cambria" w:eastAsia="SimSun" w:hAnsi="Cambria" w:cs="Times New Roman"/>
      <w:i/>
      <w:iCs/>
      <w:color w:val="243F60"/>
      <w:sz w:val="20"/>
      <w:szCs w:val="30"/>
    </w:rPr>
  </w:style>
  <w:style w:type="character" w:customStyle="1" w:styleId="Titolo7Carattere">
    <w:name w:val="Titolo 7 Carattere"/>
    <w:link w:val="Titolo7"/>
    <w:uiPriority w:val="9"/>
    <w:rsid w:val="00EC4B6B"/>
    <w:rPr>
      <w:rFonts w:ascii="Cambria" w:eastAsia="SimSun" w:hAnsi="Cambria" w:cs="Times New Roman"/>
      <w:i/>
      <w:iCs/>
      <w:color w:val="404040"/>
      <w:sz w:val="20"/>
      <w:szCs w:val="30"/>
    </w:rPr>
  </w:style>
  <w:style w:type="character" w:customStyle="1" w:styleId="Titolo8Carattere">
    <w:name w:val="Titolo 8 Carattere"/>
    <w:link w:val="Titolo8"/>
    <w:uiPriority w:val="9"/>
    <w:rsid w:val="00EC4B6B"/>
    <w:rPr>
      <w:rFonts w:ascii="Cambria" w:eastAsia="SimSun" w:hAnsi="Cambria" w:cs="Times New Roman"/>
      <w:color w:val="404040"/>
      <w:sz w:val="20"/>
      <w:szCs w:val="20"/>
    </w:rPr>
  </w:style>
  <w:style w:type="character" w:customStyle="1" w:styleId="Titolo9Carattere">
    <w:name w:val="Titolo 9 Carattere"/>
    <w:link w:val="Titolo9"/>
    <w:uiPriority w:val="9"/>
    <w:rsid w:val="00EC4B6B"/>
    <w:rPr>
      <w:rFonts w:ascii="Cambria" w:eastAsia="SimSun" w:hAnsi="Cambria" w:cs="Times New Roman"/>
      <w:i/>
      <w:iCs/>
      <w:color w:val="404040"/>
      <w:sz w:val="20"/>
      <w:szCs w:val="20"/>
    </w:rPr>
  </w:style>
  <w:style w:type="paragraph" w:styleId="Titolo">
    <w:name w:val="Title"/>
    <w:basedOn w:val="Normale"/>
    <w:next w:val="Normale"/>
    <w:link w:val="TitoloCarattere"/>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oloCarattere">
    <w:name w:val="Titolo Carattere"/>
    <w:link w:val="Titolo"/>
    <w:uiPriority w:val="10"/>
    <w:rsid w:val="00EC4B6B"/>
    <w:rPr>
      <w:rFonts w:ascii="Cambria" w:eastAsia="SimSun" w:hAnsi="Cambria" w:cs="Times New Roman"/>
      <w:color w:val="17365D"/>
      <w:spacing w:val="5"/>
      <w:kern w:val="28"/>
      <w:sz w:val="52"/>
      <w:szCs w:val="52"/>
    </w:rPr>
  </w:style>
  <w:style w:type="paragraph" w:styleId="Sottotitolo">
    <w:name w:val="Subtitle"/>
    <w:basedOn w:val="Normale"/>
    <w:next w:val="Normale"/>
    <w:link w:val="SottotitoloCarattere"/>
    <w:uiPriority w:val="11"/>
    <w:rsid w:val="00EC4B6B"/>
    <w:pPr>
      <w:numPr>
        <w:ilvl w:val="1"/>
      </w:numPr>
    </w:pPr>
    <w:rPr>
      <w:rFonts w:ascii="Cambria" w:eastAsia="SimSun" w:hAnsi="Cambria" w:cs="Times New Roman"/>
      <w:i/>
      <w:iCs/>
      <w:color w:val="4F81BD"/>
      <w:spacing w:val="15"/>
      <w:sz w:val="24"/>
      <w:szCs w:val="24"/>
    </w:rPr>
  </w:style>
  <w:style w:type="character" w:customStyle="1" w:styleId="SottotitoloCarattere">
    <w:name w:val="Sottotitolo Carattere"/>
    <w:link w:val="Sottotitolo"/>
    <w:uiPriority w:val="11"/>
    <w:rsid w:val="00EC4B6B"/>
    <w:rPr>
      <w:rFonts w:ascii="Cambria" w:eastAsia="SimSun" w:hAnsi="Cambria" w:cs="Times New Roman"/>
      <w:i/>
      <w:iCs/>
      <w:color w:val="4F81BD"/>
      <w:spacing w:val="15"/>
      <w:sz w:val="24"/>
      <w:szCs w:val="24"/>
    </w:rPr>
  </w:style>
  <w:style w:type="character" w:styleId="Enfasidelicata">
    <w:name w:val="Subtle Emphasis"/>
    <w:uiPriority w:val="19"/>
    <w:rsid w:val="00EC4B6B"/>
    <w:rPr>
      <w:i/>
      <w:iCs/>
      <w:color w:val="808080"/>
    </w:rPr>
  </w:style>
  <w:style w:type="table" w:styleId="Grigliaacolori-Colore6">
    <w:name w:val="Colorful Grid Accent 6"/>
    <w:basedOn w:val="Tabellanormale"/>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nfasicorsivo">
    <w:name w:val="Emphasis"/>
    <w:uiPriority w:val="20"/>
    <w:rsid w:val="003260FF"/>
    <w:rPr>
      <w:i/>
      <w:iCs/>
    </w:rPr>
  </w:style>
  <w:style w:type="character" w:styleId="Enfasiintensa">
    <w:name w:val="Intense Emphasis"/>
    <w:uiPriority w:val="21"/>
    <w:rsid w:val="003260FF"/>
    <w:rPr>
      <w:b/>
      <w:bCs/>
      <w:i/>
      <w:iCs/>
      <w:color w:val="4F81BD"/>
    </w:rPr>
  </w:style>
  <w:style w:type="character" w:styleId="Enfasigrassetto">
    <w:name w:val="Strong"/>
    <w:uiPriority w:val="22"/>
    <w:rsid w:val="003260FF"/>
    <w:rPr>
      <w:b/>
      <w:bCs/>
    </w:rPr>
  </w:style>
  <w:style w:type="paragraph" w:styleId="Citazione">
    <w:name w:val="Quote"/>
    <w:basedOn w:val="Normale"/>
    <w:next w:val="Normale"/>
    <w:link w:val="CitazioneCarattere"/>
    <w:uiPriority w:val="29"/>
    <w:rsid w:val="003260FF"/>
    <w:rPr>
      <w:rFonts w:cs="Times New Roman"/>
      <w:i/>
      <w:iCs/>
      <w:color w:val="000000"/>
    </w:rPr>
  </w:style>
  <w:style w:type="character" w:customStyle="1" w:styleId="CitazioneCarattere">
    <w:name w:val="Citazione Carattere"/>
    <w:link w:val="Citazione"/>
    <w:uiPriority w:val="29"/>
    <w:rsid w:val="003260FF"/>
    <w:rPr>
      <w:rFonts w:ascii="Times New Roman" w:hAnsi="Times New Roman" w:cs="Traditional Arabic"/>
      <w:i/>
      <w:iCs/>
      <w:color w:val="000000"/>
      <w:sz w:val="20"/>
      <w:szCs w:val="30"/>
    </w:rPr>
  </w:style>
  <w:style w:type="paragraph" w:styleId="Citazioneintensa">
    <w:name w:val="Intense Quote"/>
    <w:basedOn w:val="Normale"/>
    <w:next w:val="Normale"/>
    <w:link w:val="CitazioneintensaCarattere"/>
    <w:uiPriority w:val="30"/>
    <w:rsid w:val="003260FF"/>
    <w:pPr>
      <w:pBdr>
        <w:bottom w:val="single" w:sz="4" w:space="4" w:color="4F81BD"/>
      </w:pBdr>
      <w:spacing w:before="200" w:after="280"/>
      <w:ind w:left="936" w:right="936"/>
    </w:pPr>
    <w:rPr>
      <w:rFonts w:cs="Times New Roman"/>
      <w:b/>
      <w:bCs/>
      <w:i/>
      <w:iCs/>
      <w:color w:val="4F81BD"/>
    </w:rPr>
  </w:style>
  <w:style w:type="character" w:customStyle="1" w:styleId="CitazioneintensaCarattere">
    <w:name w:val="Citazione intensa Carattere"/>
    <w:link w:val="Citazioneintensa"/>
    <w:uiPriority w:val="30"/>
    <w:rsid w:val="003260FF"/>
    <w:rPr>
      <w:rFonts w:ascii="Times New Roman" w:hAnsi="Times New Roman" w:cs="Traditional Arabic"/>
      <w:b/>
      <w:bCs/>
      <w:i/>
      <w:iCs/>
      <w:color w:val="4F81BD"/>
      <w:sz w:val="20"/>
      <w:szCs w:val="30"/>
    </w:rPr>
  </w:style>
  <w:style w:type="character" w:styleId="Riferimentodelicato">
    <w:name w:val="Subtle Reference"/>
    <w:uiPriority w:val="31"/>
    <w:rsid w:val="003260FF"/>
    <w:rPr>
      <w:smallCaps/>
      <w:color w:val="C0504D"/>
      <w:u w:val="single"/>
    </w:rPr>
  </w:style>
  <w:style w:type="character" w:styleId="Riferimentointenso">
    <w:name w:val="Intense Reference"/>
    <w:uiPriority w:val="32"/>
    <w:rsid w:val="003260FF"/>
    <w:rPr>
      <w:b/>
      <w:bCs/>
      <w:smallCaps/>
      <w:color w:val="C0504D"/>
      <w:spacing w:val="5"/>
      <w:u w:val="single"/>
    </w:rPr>
  </w:style>
  <w:style w:type="paragraph" w:styleId="Paragrafoelenco">
    <w:name w:val="List Paragraph"/>
    <w:basedOn w:val="Normale"/>
    <w:uiPriority w:val="34"/>
    <w:rsid w:val="003260FF"/>
    <w:pPr>
      <w:ind w:left="720"/>
      <w:contextualSpacing/>
    </w:pPr>
  </w:style>
  <w:style w:type="table" w:styleId="Sfondomedio1-Colore4">
    <w:name w:val="Medium Shading 1 Accent 4"/>
    <w:basedOn w:val="Tabellanormale"/>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Rimandonotadichiusura">
    <w:name w:val="endnote reference"/>
    <w:uiPriority w:val="99"/>
    <w:semiHidden/>
    <w:unhideWhenUsed/>
    <w:rsid w:val="00F900C3"/>
    <w:rPr>
      <w:vertAlign w:val="superscript"/>
    </w:rPr>
  </w:style>
  <w:style w:type="table" w:styleId="Grigliatabella">
    <w:name w:val="Table Grid"/>
    <w:basedOn w:val="Tabellanormale"/>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3E27"/>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6B3E27"/>
    <w:rPr>
      <w:rFonts w:ascii="Tahoma" w:hAnsi="Tahoma" w:cs="Tahoma"/>
      <w:sz w:val="16"/>
      <w:szCs w:val="16"/>
    </w:rPr>
  </w:style>
  <w:style w:type="paragraph" w:customStyle="1" w:styleId="SingleTxtG">
    <w:name w:val="_ Single Txt_G"/>
    <w:basedOn w:val="Normale"/>
    <w:link w:val="SingleTxtGChar"/>
    <w:rsid w:val="006126DA"/>
    <w:pPr>
      <w:suppressAutoHyphens/>
      <w:bidi w:val="0"/>
      <w:spacing w:after="120"/>
      <w:ind w:left="1134" w:right="1134"/>
      <w:jc w:val="both"/>
    </w:pPr>
    <w:rPr>
      <w:rFonts w:cs="Times New Roman"/>
      <w:lang w:val="en-GB"/>
    </w:rPr>
  </w:style>
  <w:style w:type="paragraph" w:customStyle="1" w:styleId="HChG">
    <w:name w:val="_ H _Ch_G"/>
    <w:basedOn w:val="Normale"/>
    <w:next w:val="Normale"/>
    <w:link w:val="HChGChar"/>
    <w:rsid w:val="006126DA"/>
    <w:pPr>
      <w:keepNext/>
      <w:keepLines/>
      <w:tabs>
        <w:tab w:val="right" w:pos="851"/>
      </w:tabs>
      <w:suppressAutoHyphens/>
      <w:bidi w:val="0"/>
      <w:spacing w:before="360" w:after="240" w:line="300" w:lineRule="exact"/>
      <w:ind w:left="1134" w:right="1134" w:hanging="1134"/>
      <w:jc w:val="left"/>
    </w:pPr>
    <w:rPr>
      <w:rFonts w:cs="Times New Roman"/>
      <w:b/>
      <w:sz w:val="28"/>
      <w:lang w:val="en-GB"/>
    </w:rPr>
  </w:style>
  <w:style w:type="paragraph" w:customStyle="1" w:styleId="H23G">
    <w:name w:val="_ H_2/3_G"/>
    <w:basedOn w:val="Normale"/>
    <w:next w:val="Normale"/>
    <w:rsid w:val="006126DA"/>
    <w:pPr>
      <w:keepNext/>
      <w:keepLines/>
      <w:tabs>
        <w:tab w:val="right" w:pos="851"/>
      </w:tabs>
      <w:suppressAutoHyphens/>
      <w:bidi w:val="0"/>
      <w:spacing w:before="240" w:after="120" w:line="240" w:lineRule="exact"/>
      <w:ind w:left="1134" w:right="1134" w:hanging="1134"/>
      <w:jc w:val="left"/>
    </w:pPr>
    <w:rPr>
      <w:rFonts w:hint="cs"/>
      <w:b/>
      <w:lang w:val="en-GB"/>
    </w:rPr>
  </w:style>
  <w:style w:type="character" w:customStyle="1" w:styleId="HChGChar">
    <w:name w:val="_ H _Ch_G Char"/>
    <w:link w:val="HChG"/>
    <w:locked/>
    <w:rsid w:val="006126DA"/>
    <w:rPr>
      <w:rFonts w:ascii="Times New Roman" w:hAnsi="Times New Roman" w:cs="Traditional Arabic"/>
      <w:b/>
      <w:sz w:val="28"/>
      <w:szCs w:val="30"/>
      <w:lang w:val="en-GB"/>
    </w:rPr>
  </w:style>
  <w:style w:type="character" w:customStyle="1" w:styleId="SingleTxtGChar">
    <w:name w:val="_ Single Txt_G Char"/>
    <w:link w:val="SingleTxtG"/>
    <w:locked/>
    <w:rsid w:val="006126DA"/>
    <w:rPr>
      <w:rFonts w:ascii="Times New Roman" w:hAnsi="Times New Roman" w:cs="Traditional Arabic"/>
      <w:szCs w:val="3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6</Pages>
  <Words>1289</Words>
  <Characters>7353</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CRC/C/OPAC/MAR/CO/1</vt:lpstr>
      <vt:lpstr>CRC/C/OPAC/MAR/CO/1</vt:lpstr>
    </vt:vector>
  </TitlesOfParts>
  <Company>DCM</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CRC/C/OPAC/MAR/CO/1</dc:title>
  <dc:creator>Riz</dc:creator>
  <cp:lastModifiedBy>Carmelo</cp:lastModifiedBy>
  <cp:revision>2</cp:revision>
  <cp:lastPrinted>2014-12-11T08:15:00Z</cp:lastPrinted>
  <dcterms:created xsi:type="dcterms:W3CDTF">2016-01-20T21:37:00Z</dcterms:created>
  <dcterms:modified xsi:type="dcterms:W3CDTF">2016-01-20T21:37:00Z</dcterms:modified>
</cp:coreProperties>
</file>