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7A" w:rsidRDefault="00CA627A" w:rsidP="00CA627A">
      <w:pPr>
        <w:spacing w:line="240" w:lineRule="auto"/>
        <w:jc w:val="left"/>
        <w:rPr>
          <w:szCs w:val="6"/>
        </w:rPr>
        <w:sectPr w:rsidR="00CA627A" w:rsidSect="00CA627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742" w:right="1195" w:bottom="1898" w:left="1195" w:header="576" w:footer="1030" w:gutter="0"/>
          <w:cols w:space="720"/>
          <w:titlePg/>
          <w:bidi/>
          <w:rtlGutter/>
          <w:docGrid w:linePitch="280"/>
        </w:sectPr>
      </w:pPr>
      <w:bookmarkStart w:id="0" w:name="_GoBack"/>
      <w:bookmarkEnd w:id="0"/>
    </w:p>
    <w:p w:rsidR="00CD3849" w:rsidRDefault="0018018E" w:rsidP="0018018E">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Pr>
          <w:rFonts w:hint="cs"/>
          <w:rtl/>
        </w:rPr>
        <w:lastRenderedPageBreak/>
        <w:t>اللجنة المعنية بالقضاء على التمييز ضد المرأة</w:t>
      </w:r>
    </w:p>
    <w:p w:rsidR="0018018E" w:rsidRPr="006C6965" w:rsidRDefault="0018018E" w:rsidP="0018018E">
      <w:pPr>
        <w:tabs>
          <w:tab w:val="left" w:pos="662"/>
          <w:tab w:val="left" w:pos="1267"/>
          <w:tab w:val="left" w:pos="1987"/>
          <w:tab w:val="left" w:pos="2650"/>
        </w:tabs>
        <w:rPr>
          <w:b/>
          <w:bCs/>
          <w:rtl/>
        </w:rPr>
      </w:pPr>
      <w:r w:rsidRPr="006C6965">
        <w:rPr>
          <w:rFonts w:hint="cs"/>
          <w:b/>
          <w:bCs/>
          <w:rtl/>
        </w:rPr>
        <w:t>الفريق العامل لما قبل الدورة</w:t>
      </w:r>
    </w:p>
    <w:p w:rsidR="0018018E" w:rsidRDefault="0018018E" w:rsidP="0018018E">
      <w:pPr>
        <w:tabs>
          <w:tab w:val="left" w:pos="662"/>
          <w:tab w:val="left" w:pos="1267"/>
          <w:tab w:val="left" w:pos="1987"/>
          <w:tab w:val="left" w:pos="2650"/>
        </w:tabs>
        <w:rPr>
          <w:rtl/>
        </w:rPr>
      </w:pPr>
      <w:r w:rsidRPr="006C6965">
        <w:rPr>
          <w:rFonts w:hint="cs"/>
          <w:b/>
          <w:bCs/>
          <w:rtl/>
        </w:rPr>
        <w:t>الدورتان الأربعون والحادية والأربعون</w:t>
      </w:r>
    </w:p>
    <w:p w:rsidR="0018018E" w:rsidRDefault="0018018E" w:rsidP="0018018E">
      <w:pPr>
        <w:tabs>
          <w:tab w:val="left" w:pos="662"/>
          <w:tab w:val="left" w:pos="1267"/>
          <w:tab w:val="left" w:pos="1987"/>
          <w:tab w:val="left" w:pos="2650"/>
        </w:tabs>
        <w:rPr>
          <w:rtl/>
        </w:rPr>
      </w:pPr>
      <w:r>
        <w:rPr>
          <w:rFonts w:hint="cs"/>
          <w:rtl/>
        </w:rPr>
        <w:t>16-20 تموز/يوليه 2007</w:t>
      </w:r>
    </w:p>
    <w:p w:rsidR="0018018E" w:rsidRPr="0018018E" w:rsidRDefault="0018018E" w:rsidP="0018018E">
      <w:pPr>
        <w:pStyle w:val="SingleTxt"/>
        <w:spacing w:after="0" w:line="120" w:lineRule="exact"/>
        <w:rPr>
          <w:sz w:val="12"/>
          <w:rtl/>
        </w:rPr>
      </w:pPr>
    </w:p>
    <w:p w:rsidR="0018018E" w:rsidRPr="0018018E" w:rsidRDefault="0018018E" w:rsidP="0018018E">
      <w:pPr>
        <w:pStyle w:val="SingleTxt"/>
        <w:spacing w:after="0" w:line="120" w:lineRule="exact"/>
        <w:rPr>
          <w:sz w:val="12"/>
          <w:rtl/>
        </w:rPr>
      </w:pPr>
    </w:p>
    <w:p w:rsidR="0018018E" w:rsidRDefault="0018018E" w:rsidP="0018018E">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t>قائمة القضايا والأسئلة المطروحة فيما يختص بالنظر في التقارير الدورية</w:t>
      </w:r>
    </w:p>
    <w:p w:rsidR="00D105C6" w:rsidRDefault="00D105C6" w:rsidP="00D105C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2"/>
          <w:rtl/>
        </w:rPr>
      </w:pPr>
    </w:p>
    <w:p w:rsidR="0038587A" w:rsidRPr="0038587A" w:rsidRDefault="0038587A" w:rsidP="0038587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2"/>
          <w:rtl/>
        </w:rPr>
      </w:pPr>
    </w:p>
    <w:p w:rsidR="0018018E" w:rsidRDefault="0018018E" w:rsidP="0018018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t>المغرب</w:t>
      </w:r>
    </w:p>
    <w:p w:rsidR="0018018E" w:rsidRDefault="0018018E" w:rsidP="0018018E">
      <w:pPr>
        <w:pStyle w:val="SingleTxt"/>
        <w:rPr>
          <w:rtl/>
        </w:rPr>
      </w:pPr>
      <w:r>
        <w:rPr>
          <w:rFonts w:hint="cs"/>
          <w:rtl/>
        </w:rPr>
        <w:tab/>
        <w:t>نظر الفريق العامل لما قبل الدورة في التقرير الجامع للتقريرين الدوريين الثالث والرابع للمغرب (</w:t>
      </w:r>
      <w:r>
        <w:t>CEDAW/C/MAR/4</w:t>
      </w:r>
      <w:r>
        <w:rPr>
          <w:rFonts w:hint="cs"/>
          <w:rtl/>
        </w:rPr>
        <w:t>).</w:t>
      </w:r>
    </w:p>
    <w:p w:rsidR="004F5E1B" w:rsidRPr="004F5E1B" w:rsidRDefault="004F5E1B" w:rsidP="004F5E1B">
      <w:pPr>
        <w:pStyle w:val="SingleTxt"/>
        <w:spacing w:after="0" w:line="120" w:lineRule="exact"/>
        <w:rPr>
          <w:b/>
          <w:bCs/>
          <w:sz w:val="12"/>
          <w:rtl/>
        </w:rPr>
      </w:pPr>
    </w:p>
    <w:p w:rsidR="00D8706B" w:rsidRPr="0016745F" w:rsidRDefault="004F5E1B" w:rsidP="004F5E1B">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r>
      <w:r w:rsidR="00D8706B" w:rsidRPr="0016745F">
        <w:rPr>
          <w:rFonts w:hint="cs"/>
          <w:rtl/>
        </w:rPr>
        <w:t>معلومات عامة</w:t>
      </w:r>
    </w:p>
    <w:p w:rsidR="00D8706B" w:rsidRDefault="00D8706B" w:rsidP="004F5E1B">
      <w:pPr>
        <w:pStyle w:val="SingleTxt"/>
        <w:rPr>
          <w:rtl/>
        </w:rPr>
      </w:pPr>
      <w:r>
        <w:rPr>
          <w:rFonts w:hint="cs"/>
          <w:rtl/>
        </w:rPr>
        <w:t>1 -</w:t>
      </w:r>
      <w:r>
        <w:rPr>
          <w:rFonts w:hint="cs"/>
          <w:rtl/>
        </w:rPr>
        <w:tab/>
        <w:t>يشير التقرير إلى أن وزارة العدل أصدرت بيانا في آذار/مارس 2006، تعلن فيه سحب تحفظات المغرب على المواد 9 (2) و 15 (4) و 16 (1) (و) و 16 (2) و</w:t>
      </w:r>
      <w:r w:rsidR="004F5E1B">
        <w:rPr>
          <w:rFonts w:hint="cs"/>
          <w:rtl/>
        </w:rPr>
        <w:t>الاستعاضة</w:t>
      </w:r>
      <w:r>
        <w:rPr>
          <w:rFonts w:hint="cs"/>
          <w:rtl/>
        </w:rPr>
        <w:t xml:space="preserve"> </w:t>
      </w:r>
      <w:r w:rsidR="004F5E1B">
        <w:rPr>
          <w:rFonts w:hint="cs"/>
          <w:rtl/>
        </w:rPr>
        <w:t>ب</w:t>
      </w:r>
      <w:r>
        <w:rPr>
          <w:rFonts w:hint="cs"/>
          <w:rtl/>
        </w:rPr>
        <w:t xml:space="preserve">إعلان تفسيري </w:t>
      </w:r>
      <w:r w:rsidR="004F5E1B">
        <w:rPr>
          <w:rFonts w:hint="cs"/>
          <w:rtl/>
        </w:rPr>
        <w:t xml:space="preserve">عن التحفظات على </w:t>
      </w:r>
      <w:r>
        <w:rPr>
          <w:rFonts w:hint="cs"/>
          <w:rtl/>
        </w:rPr>
        <w:t xml:space="preserve">الفقرات الفرعية الأخرى من </w:t>
      </w:r>
      <w:r w:rsidRPr="004F5E1B">
        <w:rPr>
          <w:rFonts w:hint="cs"/>
          <w:w w:val="98"/>
          <w:rtl/>
        </w:rPr>
        <w:t>المادة 16 (1)</w:t>
      </w:r>
      <w:r>
        <w:rPr>
          <w:rFonts w:hint="cs"/>
          <w:rtl/>
        </w:rPr>
        <w:t xml:space="preserve"> والمادة 2 </w:t>
      </w:r>
      <w:r w:rsidR="004F5E1B">
        <w:rPr>
          <w:rFonts w:hint="cs"/>
          <w:rtl/>
        </w:rPr>
        <w:t xml:space="preserve">(2) </w:t>
      </w:r>
      <w:r>
        <w:rPr>
          <w:rFonts w:hint="cs"/>
          <w:rtl/>
        </w:rPr>
        <w:t>(</w:t>
      </w:r>
      <w:r w:rsidR="004F5E1B">
        <w:rPr>
          <w:rFonts w:hint="cs"/>
          <w:rtl/>
        </w:rPr>
        <w:t>الفقرة 29). وحيث إ</w:t>
      </w:r>
      <w:r>
        <w:rPr>
          <w:rFonts w:hint="cs"/>
          <w:rtl/>
        </w:rPr>
        <w:t xml:space="preserve">ن صك </w:t>
      </w:r>
      <w:r w:rsidR="004F5E1B">
        <w:rPr>
          <w:rFonts w:hint="cs"/>
          <w:rtl/>
        </w:rPr>
        <w:t>السحب لم يودع بعد</w:t>
      </w:r>
      <w:r>
        <w:rPr>
          <w:rFonts w:hint="cs"/>
          <w:rtl/>
        </w:rPr>
        <w:t xml:space="preserve"> لدى الأمين العام، يرجى ا</w:t>
      </w:r>
      <w:r w:rsidR="004F5E1B">
        <w:rPr>
          <w:rFonts w:hint="cs"/>
          <w:rtl/>
        </w:rPr>
        <w:t>لإشارة إلى الإطار الزمني للسحب.</w:t>
      </w:r>
    </w:p>
    <w:p w:rsidR="00D8706B" w:rsidRDefault="00D8706B" w:rsidP="00D8706B">
      <w:pPr>
        <w:pStyle w:val="SingleTxt"/>
        <w:rPr>
          <w:rtl/>
        </w:rPr>
      </w:pPr>
      <w:r>
        <w:rPr>
          <w:rFonts w:hint="cs"/>
          <w:rtl/>
        </w:rPr>
        <w:t>2 -</w:t>
      </w:r>
      <w:r>
        <w:rPr>
          <w:rFonts w:hint="cs"/>
          <w:rtl/>
        </w:rPr>
        <w:tab/>
      </w:r>
      <w:r w:rsidR="004F5E1B">
        <w:rPr>
          <w:rFonts w:hint="cs"/>
          <w:rtl/>
        </w:rPr>
        <w:t>و</w:t>
      </w:r>
      <w:r>
        <w:rPr>
          <w:rFonts w:hint="cs"/>
          <w:rtl/>
        </w:rPr>
        <w:t xml:space="preserve">يشير التقرير إلى أن هناك لجنة تقنية مشتركة بين الوزارات تنظر في </w:t>
      </w:r>
      <w:r w:rsidR="004F5E1B">
        <w:rPr>
          <w:rFonts w:hint="cs"/>
          <w:rtl/>
        </w:rPr>
        <w:t xml:space="preserve">مدى </w:t>
      </w:r>
      <w:r>
        <w:rPr>
          <w:rFonts w:hint="cs"/>
          <w:rtl/>
        </w:rPr>
        <w:t xml:space="preserve">استحسان الانضمام إلى البروتوكول الاختياري (الفقرة 30). </w:t>
      </w:r>
      <w:r w:rsidR="004F5E1B">
        <w:rPr>
          <w:rFonts w:hint="cs"/>
          <w:rtl/>
        </w:rPr>
        <w:t>ف</w:t>
      </w:r>
      <w:r>
        <w:rPr>
          <w:rFonts w:hint="cs"/>
          <w:rtl/>
        </w:rPr>
        <w:t xml:space="preserve">يرجى الإشارة إلى التقدم المحرز في هذا الصدد وإلى الإطار الزمني لأي انضمام معتزم. </w:t>
      </w:r>
    </w:p>
    <w:p w:rsidR="00D105C6" w:rsidRDefault="00D105C6" w:rsidP="004F5E1B">
      <w:pPr>
        <w:pStyle w:val="SingleTxt"/>
        <w:rPr>
          <w:rtl/>
        </w:rPr>
      </w:pPr>
    </w:p>
    <w:p w:rsidR="00D105C6" w:rsidRDefault="00D105C6" w:rsidP="004F5E1B">
      <w:pPr>
        <w:pStyle w:val="SingleTxt"/>
        <w:rPr>
          <w:rtl/>
        </w:rPr>
      </w:pPr>
    </w:p>
    <w:p w:rsidR="00D8706B" w:rsidRDefault="00D8706B" w:rsidP="004F5E1B">
      <w:pPr>
        <w:pStyle w:val="SingleTxt"/>
        <w:rPr>
          <w:rtl/>
        </w:rPr>
      </w:pPr>
      <w:r>
        <w:rPr>
          <w:rFonts w:hint="cs"/>
          <w:rtl/>
        </w:rPr>
        <w:lastRenderedPageBreak/>
        <w:t>3 -</w:t>
      </w:r>
      <w:r>
        <w:rPr>
          <w:rFonts w:hint="cs"/>
          <w:rtl/>
        </w:rPr>
        <w:tab/>
      </w:r>
      <w:r w:rsidR="004F5E1B">
        <w:rPr>
          <w:rFonts w:hint="cs"/>
          <w:rtl/>
        </w:rPr>
        <w:t>و</w:t>
      </w:r>
      <w:r>
        <w:rPr>
          <w:rFonts w:hint="cs"/>
          <w:rtl/>
        </w:rPr>
        <w:t xml:space="preserve">يشير التقرير إلى أنه قد جرت استشارة </w:t>
      </w:r>
      <w:r w:rsidR="0038587A">
        <w:rPr>
          <w:rFonts w:hint="cs"/>
          <w:rtl/>
        </w:rPr>
        <w:t>الوكالات الحكومية والمنظمات غير</w:t>
      </w:r>
      <w:r w:rsidR="0038587A">
        <w:rPr>
          <w:rFonts w:hint="eastAsia"/>
          <w:rtl/>
        </w:rPr>
        <w:t> </w:t>
      </w:r>
      <w:r>
        <w:rPr>
          <w:rFonts w:hint="cs"/>
          <w:rtl/>
        </w:rPr>
        <w:t>الحكومية والمنظمات الدولية والوكالات المتخصصة التابعة للأمم المتحدة عند إعداد التقرير (الفقرتان 2 و 3)</w:t>
      </w:r>
      <w:r w:rsidR="004F5E1B">
        <w:rPr>
          <w:rFonts w:hint="cs"/>
          <w:rtl/>
        </w:rPr>
        <w:t>.</w:t>
      </w:r>
      <w:r>
        <w:rPr>
          <w:rFonts w:hint="cs"/>
          <w:rtl/>
        </w:rPr>
        <w:t xml:space="preserve"> </w:t>
      </w:r>
      <w:r w:rsidR="004F5E1B">
        <w:rPr>
          <w:rFonts w:hint="cs"/>
          <w:rtl/>
        </w:rPr>
        <w:t>ف</w:t>
      </w:r>
      <w:r>
        <w:rPr>
          <w:rFonts w:hint="cs"/>
          <w:rtl/>
        </w:rPr>
        <w:t>يرجى الإشارة إلى ما إذا كان التقرير قد عُرض كذلك على البرلمان ونظر فيه</w:t>
      </w:r>
      <w:r w:rsidR="004F5E1B">
        <w:rPr>
          <w:rFonts w:hint="cs"/>
          <w:rtl/>
        </w:rPr>
        <w:t>.</w:t>
      </w:r>
    </w:p>
    <w:p w:rsidR="00D8706B" w:rsidRPr="0016745F" w:rsidRDefault="00D8706B" w:rsidP="00D8706B">
      <w:pPr>
        <w:pStyle w:val="SingleTxt"/>
        <w:spacing w:after="0" w:line="120" w:lineRule="exact"/>
        <w:rPr>
          <w:sz w:val="10"/>
          <w:rtl/>
        </w:rPr>
      </w:pPr>
    </w:p>
    <w:p w:rsidR="00D8706B" w:rsidRDefault="004F5E1B" w:rsidP="004F5E1B">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r>
      <w:r w:rsidR="00D8706B">
        <w:rPr>
          <w:rFonts w:hint="cs"/>
          <w:rtl/>
        </w:rPr>
        <w:t>الد</w:t>
      </w:r>
      <w:r>
        <w:rPr>
          <w:rFonts w:hint="cs"/>
          <w:rtl/>
        </w:rPr>
        <w:t>ستور والتشريعات والآلية الوطنية</w:t>
      </w:r>
    </w:p>
    <w:p w:rsidR="00D8706B" w:rsidRDefault="00D8706B" w:rsidP="004F5E1B">
      <w:pPr>
        <w:pStyle w:val="SingleTxt"/>
        <w:rPr>
          <w:rtl/>
        </w:rPr>
      </w:pPr>
      <w:r>
        <w:rPr>
          <w:rFonts w:hint="cs"/>
          <w:rtl/>
        </w:rPr>
        <w:t>4 -</w:t>
      </w:r>
      <w:r>
        <w:rPr>
          <w:rFonts w:hint="cs"/>
          <w:rtl/>
        </w:rPr>
        <w:tab/>
        <w:t xml:space="preserve">يشير التقرير إلى </w:t>
      </w:r>
      <w:r>
        <w:rPr>
          <w:rFonts w:hint="eastAsia"/>
          <w:rtl/>
        </w:rPr>
        <w:t>”</w:t>
      </w:r>
      <w:r>
        <w:rPr>
          <w:rFonts w:hint="cs"/>
          <w:rtl/>
        </w:rPr>
        <w:t>أن الصكوك الدولية المصدق عليها بالشكل الواجب والمنشورة في الجريدة الرسمية تعلو على التشريع الداخلي في حالة النزاع، و</w:t>
      </w:r>
      <w:r w:rsidR="004F5E1B">
        <w:rPr>
          <w:rFonts w:hint="cs"/>
          <w:rtl/>
        </w:rPr>
        <w:t>ت</w:t>
      </w:r>
      <w:r>
        <w:rPr>
          <w:rFonts w:hint="cs"/>
          <w:rtl/>
        </w:rPr>
        <w:t>ؤكد ذلك قرارات المحكمة العليا</w:t>
      </w:r>
      <w:r>
        <w:rPr>
          <w:rFonts w:hint="eastAsia"/>
          <w:rtl/>
        </w:rPr>
        <w:t>“ (الفقرة 32)</w:t>
      </w:r>
      <w:r w:rsidR="004F5E1B">
        <w:rPr>
          <w:rFonts w:hint="cs"/>
          <w:rtl/>
        </w:rPr>
        <w:t>.</w:t>
      </w:r>
      <w:r>
        <w:rPr>
          <w:rFonts w:hint="eastAsia"/>
          <w:rtl/>
        </w:rPr>
        <w:t xml:space="preserve"> </w:t>
      </w:r>
      <w:r w:rsidR="004F5E1B">
        <w:rPr>
          <w:rFonts w:hint="cs"/>
          <w:rtl/>
        </w:rPr>
        <w:t>و</w:t>
      </w:r>
      <w:r>
        <w:rPr>
          <w:rFonts w:hint="eastAsia"/>
          <w:rtl/>
        </w:rPr>
        <w:t xml:space="preserve">يرجى تحديد قرارات المحكمة التي احتجت فيها بالاتفاقية. </w:t>
      </w:r>
    </w:p>
    <w:p w:rsidR="00D8706B" w:rsidRDefault="00D8706B" w:rsidP="004F5E1B">
      <w:pPr>
        <w:pStyle w:val="SingleTxt"/>
        <w:rPr>
          <w:rtl/>
        </w:rPr>
      </w:pPr>
      <w:r>
        <w:rPr>
          <w:rFonts w:hint="cs"/>
          <w:rtl/>
        </w:rPr>
        <w:t>5 -</w:t>
      </w:r>
      <w:r>
        <w:rPr>
          <w:rFonts w:hint="cs"/>
          <w:rtl/>
        </w:rPr>
        <w:tab/>
        <w:t>وي</w:t>
      </w:r>
      <w:r w:rsidR="004F5E1B">
        <w:rPr>
          <w:rFonts w:hint="cs"/>
          <w:rtl/>
        </w:rPr>
        <w:t>ُ</w:t>
      </w:r>
      <w:r>
        <w:rPr>
          <w:rFonts w:hint="cs"/>
          <w:rtl/>
        </w:rPr>
        <w:t>قر</w:t>
      </w:r>
      <w:r w:rsidR="004F5E1B">
        <w:rPr>
          <w:rFonts w:hint="cs"/>
          <w:rtl/>
        </w:rPr>
        <w:t>ّ</w:t>
      </w:r>
      <w:r>
        <w:rPr>
          <w:rFonts w:hint="cs"/>
          <w:rtl/>
        </w:rPr>
        <w:t xml:space="preserve"> التقرير بأنه رغم جهود الإصلاح القانوني العديدة، أبقى القانون على بعض الجوانب التمييزية، مثل دفع الفوائد الأسرية </w:t>
      </w:r>
      <w:r w:rsidR="004F5E1B">
        <w:rPr>
          <w:rFonts w:hint="cs"/>
          <w:rtl/>
        </w:rPr>
        <w:t>إ</w:t>
      </w:r>
      <w:r>
        <w:rPr>
          <w:rFonts w:hint="cs"/>
          <w:rtl/>
        </w:rPr>
        <w:t>ل</w:t>
      </w:r>
      <w:r w:rsidR="004F5E1B">
        <w:rPr>
          <w:rFonts w:hint="cs"/>
          <w:rtl/>
        </w:rPr>
        <w:t>ى ا</w:t>
      </w:r>
      <w:r>
        <w:rPr>
          <w:rFonts w:hint="cs"/>
          <w:rtl/>
        </w:rPr>
        <w:t xml:space="preserve">لزوج حتى إذا كان الزوجان مقيدين في </w:t>
      </w:r>
      <w:r w:rsidR="004F5E1B">
        <w:rPr>
          <w:rFonts w:hint="cs"/>
          <w:rtl/>
        </w:rPr>
        <w:t xml:space="preserve">نظام </w:t>
      </w:r>
      <w:r>
        <w:rPr>
          <w:rFonts w:hint="cs"/>
          <w:rtl/>
        </w:rPr>
        <w:t xml:space="preserve">الضمان الاجتماعي (الفقرة 48). </w:t>
      </w:r>
      <w:r w:rsidR="004F5E1B">
        <w:rPr>
          <w:rFonts w:hint="cs"/>
          <w:rtl/>
        </w:rPr>
        <w:t>ف</w:t>
      </w:r>
      <w:r>
        <w:rPr>
          <w:rFonts w:hint="cs"/>
          <w:rtl/>
        </w:rPr>
        <w:t>يرجى الإشارة إلى الخطوات الجاري اتخاذها لإصلاح هذا الأمر و</w:t>
      </w:r>
      <w:r w:rsidR="004F5E1B">
        <w:rPr>
          <w:rFonts w:hint="cs"/>
          <w:rtl/>
        </w:rPr>
        <w:t xml:space="preserve">غيره من </w:t>
      </w:r>
      <w:r>
        <w:rPr>
          <w:rFonts w:hint="cs"/>
          <w:rtl/>
        </w:rPr>
        <w:t xml:space="preserve">الأحكام التمييزية </w:t>
      </w:r>
      <w:r w:rsidR="004F5E1B">
        <w:rPr>
          <w:rFonts w:hint="cs"/>
          <w:rtl/>
        </w:rPr>
        <w:t>والإطار الزمني للإصلاح المرتقب.</w:t>
      </w:r>
    </w:p>
    <w:p w:rsidR="00D8706B" w:rsidRDefault="00D8706B" w:rsidP="006135CD">
      <w:pPr>
        <w:pStyle w:val="SingleTxt"/>
        <w:rPr>
          <w:rtl/>
        </w:rPr>
      </w:pPr>
      <w:r>
        <w:rPr>
          <w:rFonts w:hint="cs"/>
          <w:rtl/>
        </w:rPr>
        <w:t>6 -</w:t>
      </w:r>
      <w:r>
        <w:rPr>
          <w:rFonts w:hint="cs"/>
          <w:rtl/>
        </w:rPr>
        <w:tab/>
      </w:r>
      <w:r w:rsidR="004F5E1B">
        <w:rPr>
          <w:rFonts w:hint="cs"/>
          <w:rtl/>
        </w:rPr>
        <w:t>و</w:t>
      </w:r>
      <w:r>
        <w:rPr>
          <w:rFonts w:hint="cs"/>
          <w:rtl/>
        </w:rPr>
        <w:t xml:space="preserve">يشير التقرير إلى أنه رغم الاتجاه الواضح </w:t>
      </w:r>
      <w:r w:rsidR="004F5E1B">
        <w:rPr>
          <w:rFonts w:hint="cs"/>
          <w:rtl/>
        </w:rPr>
        <w:t>صوب</w:t>
      </w:r>
      <w:r>
        <w:rPr>
          <w:rFonts w:hint="cs"/>
          <w:rtl/>
        </w:rPr>
        <w:t xml:space="preserve"> وضع مبادرات تخدم تعزيز ثقافة حقوق الإنسان والمساواة بين الجنسين، فإن هذه الجهود لا تزال تتعرض للعرقلة نتيجة الافتقار إلى تنسيق الجهود وتبعثرها وعدم كفاية الموارد المالية والبشرية (الفقرة 96). </w:t>
      </w:r>
      <w:r w:rsidR="004F5E1B">
        <w:rPr>
          <w:rFonts w:hint="cs"/>
          <w:rtl/>
        </w:rPr>
        <w:t>ف</w:t>
      </w:r>
      <w:r>
        <w:rPr>
          <w:rFonts w:hint="cs"/>
          <w:rtl/>
        </w:rPr>
        <w:t xml:space="preserve">يرجى الإشارة إلى التدابير الجاري اتخاذها للتصدي </w:t>
      </w:r>
      <w:r w:rsidR="004F5E1B">
        <w:rPr>
          <w:rFonts w:hint="cs"/>
          <w:rtl/>
        </w:rPr>
        <w:t>لتلك</w:t>
      </w:r>
      <w:r>
        <w:rPr>
          <w:rFonts w:hint="cs"/>
          <w:rtl/>
        </w:rPr>
        <w:t xml:space="preserve"> العراقيل، بما في ذلك تعزيز مكتب </w:t>
      </w:r>
      <w:r w:rsidR="006135CD">
        <w:rPr>
          <w:rFonts w:hint="cs"/>
          <w:rtl/>
        </w:rPr>
        <w:t>كاتب</w:t>
      </w:r>
      <w:r>
        <w:rPr>
          <w:rFonts w:hint="cs"/>
          <w:rtl/>
        </w:rPr>
        <w:t xml:space="preserve"> الدولة لشؤون الأسرة ورعاية الطفل والمعوقين</w:t>
      </w:r>
      <w:r w:rsidR="006135CD">
        <w:rPr>
          <w:rFonts w:hint="cs"/>
          <w:rtl/>
        </w:rPr>
        <w:t xml:space="preserve"> (ماليا ومن حيث الموارد البشرية)</w:t>
      </w:r>
      <w:r>
        <w:rPr>
          <w:rFonts w:hint="cs"/>
          <w:rtl/>
        </w:rPr>
        <w:t xml:space="preserve">، </w:t>
      </w:r>
      <w:r w:rsidR="006135CD">
        <w:rPr>
          <w:rFonts w:hint="cs"/>
          <w:rtl/>
        </w:rPr>
        <w:t>بوصفه</w:t>
      </w:r>
      <w:r>
        <w:rPr>
          <w:rFonts w:hint="cs"/>
          <w:rtl/>
        </w:rPr>
        <w:t xml:space="preserve"> الآلية الوطنية </w:t>
      </w:r>
      <w:r w:rsidR="006135CD">
        <w:rPr>
          <w:rFonts w:hint="cs"/>
          <w:rtl/>
        </w:rPr>
        <w:t>المعنية بالنهوض بالمرأة، لكي ي</w:t>
      </w:r>
      <w:r>
        <w:rPr>
          <w:rFonts w:hint="cs"/>
          <w:rtl/>
        </w:rPr>
        <w:t xml:space="preserve">تمكن من القيام بدور تنسيق وتعزيز الجهود الرامية </w:t>
      </w:r>
      <w:r w:rsidR="006135CD">
        <w:rPr>
          <w:rFonts w:hint="cs"/>
          <w:rtl/>
        </w:rPr>
        <w:t>إلى تشجيع المساواة بين الجنسين.</w:t>
      </w:r>
    </w:p>
    <w:p w:rsidR="00D8706B" w:rsidRDefault="00D8706B" w:rsidP="00792B74">
      <w:pPr>
        <w:pStyle w:val="SingleTxt"/>
        <w:rPr>
          <w:rtl/>
        </w:rPr>
      </w:pPr>
      <w:r>
        <w:rPr>
          <w:rFonts w:hint="cs"/>
          <w:rtl/>
        </w:rPr>
        <w:t>7 -</w:t>
      </w:r>
      <w:r>
        <w:rPr>
          <w:rFonts w:hint="cs"/>
          <w:rtl/>
        </w:rPr>
        <w:tab/>
        <w:t>ويشير التقرير إلى أن وزارة المالية شرعت، في كانون الأول/ديسمبر 200</w:t>
      </w:r>
      <w:r w:rsidR="00792B74">
        <w:rPr>
          <w:rFonts w:hint="cs"/>
          <w:rtl/>
        </w:rPr>
        <w:t>2، في عملية ترمي إلى إدراج المنظور</w:t>
      </w:r>
      <w:r>
        <w:rPr>
          <w:rFonts w:hint="cs"/>
          <w:rtl/>
        </w:rPr>
        <w:t xml:space="preserve"> الجنساني في وضع ميزانية الحكومة وتحليل العمليات</w:t>
      </w:r>
      <w:r w:rsidR="00792B74">
        <w:rPr>
          <w:rFonts w:hint="cs"/>
          <w:rtl/>
        </w:rPr>
        <w:t>،</w:t>
      </w:r>
      <w:r>
        <w:rPr>
          <w:rFonts w:hint="cs"/>
          <w:rtl/>
        </w:rPr>
        <w:t xml:space="preserve"> وأنه قد تم إعداد </w:t>
      </w:r>
      <w:r w:rsidR="00792B74">
        <w:rPr>
          <w:rFonts w:hint="cs"/>
          <w:rtl/>
        </w:rPr>
        <w:t>تقرير عن ا</w:t>
      </w:r>
      <w:r>
        <w:rPr>
          <w:rFonts w:hint="cs"/>
          <w:rtl/>
        </w:rPr>
        <w:t>لشؤون الجنسانية وأ</w:t>
      </w:r>
      <w:r w:rsidR="00792B74">
        <w:rPr>
          <w:rFonts w:hint="cs"/>
          <w:rtl/>
        </w:rPr>
        <w:t>ُ</w:t>
      </w:r>
      <w:r>
        <w:rPr>
          <w:rFonts w:hint="cs"/>
          <w:rtl/>
        </w:rPr>
        <w:t>رفق بالتقرير الاقتصادي والمالي المصاحب لمشروع قانون المالي</w:t>
      </w:r>
      <w:r w:rsidR="00792B74">
        <w:rPr>
          <w:rFonts w:hint="cs"/>
          <w:rtl/>
        </w:rPr>
        <w:t>ة</w:t>
      </w:r>
      <w:r>
        <w:rPr>
          <w:rFonts w:hint="cs"/>
          <w:rtl/>
        </w:rPr>
        <w:t xml:space="preserve"> لعام 2006 عند تقديم ذ</w:t>
      </w:r>
      <w:r w:rsidR="00792B74">
        <w:rPr>
          <w:rFonts w:hint="cs"/>
          <w:rtl/>
        </w:rPr>
        <w:t>لك</w:t>
      </w:r>
      <w:r>
        <w:rPr>
          <w:rFonts w:hint="cs"/>
          <w:rtl/>
        </w:rPr>
        <w:t xml:space="preserve"> القانون إلى البرلمان (الفقرة 69). </w:t>
      </w:r>
      <w:r w:rsidR="00792B74">
        <w:rPr>
          <w:rFonts w:hint="cs"/>
          <w:rtl/>
        </w:rPr>
        <w:t>ف</w:t>
      </w:r>
      <w:r>
        <w:rPr>
          <w:rFonts w:hint="cs"/>
          <w:rtl/>
        </w:rPr>
        <w:t>يرجى الإشارة إلى ما إذا كان المنظور الجنساني قد أُدرج في قانون المالية لعام 2006 وكيفية إدراجه. ويرجى الإشارة كذلــك إلى النسبة المئويــة من الميزانية المخصصة للآلية الوطنية المعنية بالنهوض بالمرأة.</w:t>
      </w:r>
    </w:p>
    <w:p w:rsidR="00D8706B" w:rsidRPr="00C00DE3" w:rsidRDefault="00D8706B" w:rsidP="00D8706B">
      <w:pPr>
        <w:pStyle w:val="SingleTxt"/>
        <w:spacing w:after="0" w:line="120" w:lineRule="exact"/>
        <w:rPr>
          <w:sz w:val="10"/>
          <w:rtl/>
        </w:rPr>
      </w:pPr>
    </w:p>
    <w:p w:rsidR="00D105C6" w:rsidRDefault="00D105C6" w:rsidP="00D8706B">
      <w:pPr>
        <w:pStyle w:val="SingleTxt"/>
        <w:rPr>
          <w:b/>
          <w:bCs/>
          <w:rtl/>
        </w:rPr>
      </w:pPr>
    </w:p>
    <w:p w:rsidR="00D105C6" w:rsidRDefault="00D105C6" w:rsidP="00D8706B">
      <w:pPr>
        <w:pStyle w:val="SingleTxt"/>
        <w:rPr>
          <w:b/>
          <w:bCs/>
          <w:rtl/>
        </w:rPr>
      </w:pPr>
    </w:p>
    <w:p w:rsidR="00D8706B" w:rsidRPr="00C00DE3" w:rsidRDefault="00D8706B" w:rsidP="00D8706B">
      <w:pPr>
        <w:pStyle w:val="SingleTxt"/>
        <w:rPr>
          <w:b/>
          <w:bCs/>
          <w:rtl/>
        </w:rPr>
      </w:pPr>
      <w:r w:rsidRPr="00C00DE3">
        <w:rPr>
          <w:rFonts w:hint="cs"/>
          <w:b/>
          <w:bCs/>
          <w:rtl/>
        </w:rPr>
        <w:t xml:space="preserve">مشاركة المرأة في الحياة العامة وفي صنع القرار </w:t>
      </w:r>
    </w:p>
    <w:p w:rsidR="00D8706B" w:rsidRDefault="00D8706B" w:rsidP="00792B74">
      <w:pPr>
        <w:pStyle w:val="SingleTxt"/>
        <w:rPr>
          <w:rtl/>
        </w:rPr>
      </w:pPr>
      <w:r>
        <w:rPr>
          <w:rFonts w:hint="cs"/>
          <w:rtl/>
        </w:rPr>
        <w:lastRenderedPageBreak/>
        <w:t>8 -</w:t>
      </w:r>
      <w:r>
        <w:rPr>
          <w:rFonts w:hint="cs"/>
          <w:rtl/>
        </w:rPr>
        <w:tab/>
        <w:t>يشير التقرير إلى أن الحكومة اعتمدت نظاما</w:t>
      </w:r>
      <w:r w:rsidR="00792B74">
        <w:rPr>
          <w:rFonts w:hint="cs"/>
          <w:rtl/>
        </w:rPr>
        <w:t xml:space="preserve"> تلتزم فيه الأحزاب السياسية بحجز 10</w:t>
      </w:r>
      <w:r w:rsidR="00792B74">
        <w:rPr>
          <w:rFonts w:hint="eastAsia"/>
          <w:rtl/>
        </w:rPr>
        <w:t> </w:t>
      </w:r>
      <w:r>
        <w:rPr>
          <w:rFonts w:hint="cs"/>
          <w:rtl/>
        </w:rPr>
        <w:t>في المائة من المقاعد في مجلس النواب للنساء، مما رفع تمثيل النساء من 0.6 في المائة عام 1997 إلى 10.7 في المائة في انتخابات عام 2002</w:t>
      </w:r>
      <w:r w:rsidR="00792B74">
        <w:rPr>
          <w:rFonts w:hint="cs"/>
          <w:rtl/>
        </w:rPr>
        <w:t>،</w:t>
      </w:r>
      <w:r>
        <w:rPr>
          <w:rFonts w:hint="cs"/>
          <w:rtl/>
        </w:rPr>
        <w:t xml:space="preserve"> وتقوم الجماعات النسائية الآن بحشد جهودها للمطالبة بتخصيص </w:t>
      </w:r>
      <w:r w:rsidR="00792B74">
        <w:rPr>
          <w:rFonts w:hint="cs"/>
          <w:rtl/>
        </w:rPr>
        <w:t>30</w:t>
      </w:r>
      <w:r>
        <w:rPr>
          <w:rFonts w:hint="cs"/>
          <w:rtl/>
        </w:rPr>
        <w:t xml:space="preserve"> في المائة من المقاعد للمرأة في انتخابات عام 2007 (الفقرات 77</w:t>
      </w:r>
      <w:r w:rsidR="00792B74">
        <w:rPr>
          <w:rFonts w:hint="cs"/>
          <w:rtl/>
        </w:rPr>
        <w:t xml:space="preserve"> و </w:t>
      </w:r>
      <w:r>
        <w:rPr>
          <w:rFonts w:hint="cs"/>
          <w:rtl/>
        </w:rPr>
        <w:t xml:space="preserve">78 و 122-125). </w:t>
      </w:r>
      <w:r w:rsidR="00792B74">
        <w:rPr>
          <w:rFonts w:hint="cs"/>
          <w:rtl/>
        </w:rPr>
        <w:t>ف</w:t>
      </w:r>
      <w:r>
        <w:rPr>
          <w:rFonts w:hint="cs"/>
          <w:rtl/>
        </w:rPr>
        <w:t xml:space="preserve">يرجى الإشارة إلى الخطوات التي يجري اتخاذها لتخصيص هذه الحصة والإطار الزمني المرتقب </w:t>
      </w:r>
      <w:r w:rsidR="00792B74">
        <w:rPr>
          <w:rFonts w:hint="cs"/>
          <w:rtl/>
        </w:rPr>
        <w:t xml:space="preserve">لإدخال ما يلزم من </w:t>
      </w:r>
      <w:r>
        <w:rPr>
          <w:rFonts w:hint="cs"/>
          <w:rtl/>
        </w:rPr>
        <w:t xml:space="preserve">تعديلات على القانون </w:t>
      </w:r>
      <w:r w:rsidR="00792B74">
        <w:rPr>
          <w:rFonts w:hint="cs"/>
          <w:rtl/>
        </w:rPr>
        <w:t>الأساسي</w:t>
      </w:r>
      <w:r>
        <w:rPr>
          <w:rFonts w:hint="cs"/>
          <w:rtl/>
        </w:rPr>
        <w:t xml:space="preserve"> لعام 2007 الم</w:t>
      </w:r>
      <w:r w:rsidR="00792B74">
        <w:rPr>
          <w:rFonts w:hint="cs"/>
          <w:rtl/>
        </w:rPr>
        <w:t>تعلق</w:t>
      </w:r>
      <w:r>
        <w:rPr>
          <w:rFonts w:hint="cs"/>
          <w:rtl/>
        </w:rPr>
        <w:t xml:space="preserve"> بمجلس النواب</w:t>
      </w:r>
      <w:r w:rsidR="00792B74">
        <w:rPr>
          <w:rFonts w:hint="cs"/>
          <w:rtl/>
        </w:rPr>
        <w:t>.</w:t>
      </w:r>
    </w:p>
    <w:p w:rsidR="00D8706B" w:rsidRDefault="00D8706B" w:rsidP="00792B74">
      <w:pPr>
        <w:pStyle w:val="SingleTxt"/>
        <w:rPr>
          <w:rtl/>
        </w:rPr>
      </w:pPr>
      <w:r>
        <w:rPr>
          <w:rFonts w:hint="cs"/>
          <w:rtl/>
        </w:rPr>
        <w:t>9 -</w:t>
      </w:r>
      <w:r>
        <w:rPr>
          <w:rFonts w:hint="cs"/>
          <w:rtl/>
        </w:rPr>
        <w:tab/>
        <w:t>ووفقا للتقرير، لا يوجد نظام للحصص أو التز</w:t>
      </w:r>
      <w:r w:rsidR="00792B74">
        <w:rPr>
          <w:rFonts w:hint="cs"/>
          <w:rtl/>
        </w:rPr>
        <w:t>ام من جانب الأحزاب السياسية لحجز</w:t>
      </w:r>
      <w:r>
        <w:rPr>
          <w:rFonts w:hint="cs"/>
          <w:rtl/>
        </w:rPr>
        <w:t xml:space="preserve"> مقاعد للمرشحات على مستوى البلديات، </w:t>
      </w:r>
      <w:r w:rsidR="00792B74">
        <w:rPr>
          <w:rFonts w:hint="cs"/>
          <w:rtl/>
        </w:rPr>
        <w:t>ونتيجة لذلك، لم</w:t>
      </w:r>
      <w:r>
        <w:rPr>
          <w:rFonts w:hint="cs"/>
          <w:rtl/>
        </w:rPr>
        <w:t xml:space="preserve"> تشكل النساء إلا</w:t>
      </w:r>
      <w:r w:rsidR="00792B74">
        <w:rPr>
          <w:rFonts w:hint="cs"/>
          <w:rtl/>
        </w:rPr>
        <w:t>َّ</w:t>
      </w:r>
      <w:r>
        <w:rPr>
          <w:rFonts w:hint="cs"/>
          <w:rtl/>
        </w:rPr>
        <w:t xml:space="preserve"> 0.53 في المائة من المرشحات المنتخبات على مستوى البلديات عام 2003. </w:t>
      </w:r>
      <w:r w:rsidR="00792B74">
        <w:rPr>
          <w:rFonts w:hint="cs"/>
          <w:rtl/>
        </w:rPr>
        <w:t>ف</w:t>
      </w:r>
      <w:r>
        <w:rPr>
          <w:rFonts w:hint="cs"/>
          <w:rtl/>
        </w:rPr>
        <w:t>يرجى الإشارة إلى الخطوات الجاري اتخاذها، بما في ذلك التدابير الخاصة المؤقتة وفقا للفقرة 1 من المادة 4 من الاتفاقية والتوصية العامة 25 للجنة، والإطار الزمني المرتقب، لزيادة عدد النساء المشر</w:t>
      </w:r>
      <w:r w:rsidR="00792B74">
        <w:rPr>
          <w:rFonts w:hint="cs"/>
          <w:rtl/>
        </w:rPr>
        <w:t>ِّ</w:t>
      </w:r>
      <w:r>
        <w:rPr>
          <w:rFonts w:hint="cs"/>
          <w:rtl/>
        </w:rPr>
        <w:t>عات على المستوى البلدي، وخاصة في ضوء التعليقات الختامية السابقة</w:t>
      </w:r>
      <w:r w:rsidR="00792B74">
        <w:rPr>
          <w:rFonts w:hint="cs"/>
          <w:rtl/>
        </w:rPr>
        <w:t xml:space="preserve"> الصادرة عن ا</w:t>
      </w:r>
      <w:r>
        <w:rPr>
          <w:rFonts w:hint="cs"/>
          <w:rtl/>
        </w:rPr>
        <w:t>للجنة (</w:t>
      </w:r>
      <w:r w:rsidR="00792B74">
        <w:t>A/58/38</w:t>
      </w:r>
      <w:r w:rsidR="00792B74">
        <w:rPr>
          <w:rFonts w:hint="cs"/>
          <w:rtl/>
        </w:rPr>
        <w:t xml:space="preserve">، </w:t>
      </w:r>
      <w:r>
        <w:rPr>
          <w:rFonts w:hint="cs"/>
          <w:rtl/>
        </w:rPr>
        <w:t>الفقرة 165).</w:t>
      </w:r>
    </w:p>
    <w:p w:rsidR="00D8706B" w:rsidRDefault="00D8706B" w:rsidP="00792B74">
      <w:pPr>
        <w:pStyle w:val="SingleTxt"/>
        <w:rPr>
          <w:rtl/>
        </w:rPr>
      </w:pPr>
      <w:r>
        <w:rPr>
          <w:rFonts w:hint="cs"/>
          <w:rtl/>
        </w:rPr>
        <w:t>10 -</w:t>
      </w:r>
      <w:r>
        <w:rPr>
          <w:rFonts w:hint="cs"/>
          <w:rtl/>
        </w:rPr>
        <w:tab/>
        <w:t>وطلبت اللجنة، في تعليقاتها الختامية السابقة</w:t>
      </w:r>
      <w:r w:rsidR="00792B74">
        <w:rPr>
          <w:rFonts w:hint="cs"/>
          <w:rtl/>
        </w:rPr>
        <w:t>،</w:t>
      </w:r>
      <w:r>
        <w:rPr>
          <w:rFonts w:hint="cs"/>
          <w:rtl/>
        </w:rPr>
        <w:t xml:space="preserve"> من الدولة الطرف زيادة تمثيل المرأة في مراكز صنع القرار في جميع المجالات، وفقا للفقرة 1 من المادة 4 من الاتفاقية والتوصية العامة 25 للجنة (</w:t>
      </w:r>
      <w:r w:rsidR="00792B74">
        <w:t>A/58/38</w:t>
      </w:r>
      <w:r w:rsidR="00792B74">
        <w:rPr>
          <w:rFonts w:hint="cs"/>
          <w:rtl/>
        </w:rPr>
        <w:t xml:space="preserve">، </w:t>
      </w:r>
      <w:r>
        <w:rPr>
          <w:rFonts w:hint="cs"/>
          <w:rtl/>
        </w:rPr>
        <w:t xml:space="preserve">الفقرة 165). ومع ذلك، يشير التقرير إلى ما يلي: </w:t>
      </w:r>
      <w:r>
        <w:rPr>
          <w:rFonts w:hint="eastAsia"/>
          <w:rtl/>
        </w:rPr>
        <w:t>”</w:t>
      </w:r>
      <w:r w:rsidR="00792B74">
        <w:rPr>
          <w:rFonts w:hint="cs"/>
          <w:rtl/>
        </w:rPr>
        <w:t>ليس فحسب عدد</w:t>
      </w:r>
      <w:r>
        <w:rPr>
          <w:rFonts w:hint="eastAsia"/>
          <w:rtl/>
        </w:rPr>
        <w:t xml:space="preserve"> </w:t>
      </w:r>
      <w:r>
        <w:rPr>
          <w:rFonts w:hint="cs"/>
          <w:rtl/>
        </w:rPr>
        <w:t xml:space="preserve">النساء اللاتي يشغلن مواقع القرار </w:t>
      </w:r>
      <w:r w:rsidR="00792B74">
        <w:rPr>
          <w:rFonts w:hint="cs"/>
          <w:rtl/>
        </w:rPr>
        <w:t xml:space="preserve">قليل، ولكن تتركز وظائفهن </w:t>
      </w:r>
      <w:r>
        <w:rPr>
          <w:rFonts w:hint="cs"/>
          <w:rtl/>
        </w:rPr>
        <w:t>أساسا في المجال الاجتماعي والتعليمي</w:t>
      </w:r>
      <w:r>
        <w:rPr>
          <w:rFonts w:hint="eastAsia"/>
          <w:rtl/>
        </w:rPr>
        <w:t xml:space="preserve">“ (الفقرة 145). </w:t>
      </w:r>
      <w:r w:rsidR="00792B74">
        <w:rPr>
          <w:rFonts w:hint="cs"/>
          <w:rtl/>
        </w:rPr>
        <w:t>ف</w:t>
      </w:r>
      <w:r>
        <w:rPr>
          <w:rFonts w:hint="cs"/>
          <w:rtl/>
        </w:rPr>
        <w:t>يرجى الإشارة إلى التدابير الجاري اتخاذها، بما في ذلك التدابير الخاصة المؤقتة، لزيادة عدد النساء في مراكز صنع القرار، وخاصة في الميادين التي يهيمن عليها الرج</w:t>
      </w:r>
      <w:r w:rsidR="00792B74">
        <w:rPr>
          <w:rFonts w:hint="cs"/>
          <w:rtl/>
        </w:rPr>
        <w:t>ا</w:t>
      </w:r>
      <w:r>
        <w:rPr>
          <w:rFonts w:hint="cs"/>
          <w:rtl/>
        </w:rPr>
        <w:t>ل، والآثار الناجمة عن هذه التدابير.</w:t>
      </w:r>
    </w:p>
    <w:p w:rsidR="0018018E" w:rsidRDefault="00D8706B" w:rsidP="00D8706B">
      <w:pPr>
        <w:pStyle w:val="SingleTxt"/>
        <w:rPr>
          <w:rtl/>
        </w:rPr>
      </w:pPr>
      <w:r>
        <w:rPr>
          <w:rFonts w:hint="cs"/>
          <w:rtl/>
        </w:rPr>
        <w:t>11 -</w:t>
      </w:r>
      <w:r>
        <w:rPr>
          <w:rFonts w:hint="cs"/>
          <w:rtl/>
        </w:rPr>
        <w:tab/>
      </w:r>
      <w:r w:rsidR="00792B74">
        <w:rPr>
          <w:rFonts w:hint="cs"/>
          <w:rtl/>
        </w:rPr>
        <w:t>و</w:t>
      </w:r>
      <w:r>
        <w:rPr>
          <w:rFonts w:hint="cs"/>
          <w:rtl/>
        </w:rPr>
        <w:t>يرجى تقديم معلومات بشأن ماهية التدابير التي تتخذها الحكومة لزيادة عدد النساء في السلك الدبلوماسي وعلى المستوى الدولي.</w:t>
      </w:r>
    </w:p>
    <w:p w:rsidR="00792B74" w:rsidRPr="00792B74" w:rsidRDefault="00792B74" w:rsidP="00792B74">
      <w:pPr>
        <w:pStyle w:val="SingleTxt"/>
        <w:spacing w:after="0" w:line="120" w:lineRule="exact"/>
        <w:rPr>
          <w:b/>
          <w:bCs/>
          <w:sz w:val="12"/>
          <w:rtl/>
        </w:rPr>
      </w:pPr>
    </w:p>
    <w:p w:rsidR="00D8706B" w:rsidRPr="00DF24F2" w:rsidRDefault="00792B74" w:rsidP="00792B7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r>
      <w:r w:rsidR="00D8706B" w:rsidRPr="00DF24F2">
        <w:rPr>
          <w:rFonts w:hint="cs"/>
          <w:rtl/>
        </w:rPr>
        <w:t xml:space="preserve">العنف ضد المرأة </w:t>
      </w:r>
    </w:p>
    <w:p w:rsidR="00D8706B" w:rsidRDefault="00D8706B" w:rsidP="00792B74">
      <w:pPr>
        <w:pStyle w:val="SingleTxt"/>
        <w:rPr>
          <w:rtl/>
        </w:rPr>
      </w:pPr>
      <w:r>
        <w:rPr>
          <w:rFonts w:hint="cs"/>
          <w:rtl/>
        </w:rPr>
        <w:t>12 -</w:t>
      </w:r>
      <w:r>
        <w:rPr>
          <w:rFonts w:hint="cs"/>
          <w:rtl/>
        </w:rPr>
        <w:tab/>
        <w:t xml:space="preserve">يشير التقرير إلى أنه تم إصدار تعليمات لجميع مراكز الشرطة في المغرب </w:t>
      </w:r>
      <w:r w:rsidR="00792B74">
        <w:rPr>
          <w:rFonts w:hint="cs"/>
          <w:rtl/>
        </w:rPr>
        <w:t>لجمع معلومات وإحصاء</w:t>
      </w:r>
      <w:r>
        <w:rPr>
          <w:rFonts w:hint="cs"/>
          <w:rtl/>
        </w:rPr>
        <w:t>ات شهرية بشأن العنف ضد المرأة (الفقرة 47)</w:t>
      </w:r>
      <w:r w:rsidR="00792B74">
        <w:rPr>
          <w:rFonts w:hint="cs"/>
          <w:rtl/>
        </w:rPr>
        <w:t>.</w:t>
      </w:r>
      <w:r>
        <w:rPr>
          <w:rFonts w:hint="cs"/>
          <w:rtl/>
        </w:rPr>
        <w:t xml:space="preserve"> يرجى تقديم المعلومات المجم</w:t>
      </w:r>
      <w:r w:rsidR="00792B74">
        <w:rPr>
          <w:rFonts w:hint="cs"/>
          <w:rtl/>
        </w:rPr>
        <w:t>َّ</w:t>
      </w:r>
      <w:r>
        <w:rPr>
          <w:rFonts w:hint="cs"/>
          <w:rtl/>
        </w:rPr>
        <w:t>عة خلال السنوات الثلاث الأخيرة والإشارة إلى عدد الحالات التي أسفرت عن مقاضاة الجناة، وعدد الحالات التي أسفرت عن إدانات و</w:t>
      </w:r>
      <w:r w:rsidR="00792B74">
        <w:rPr>
          <w:rFonts w:hint="cs"/>
          <w:rtl/>
        </w:rPr>
        <w:t>صدور أحكام</w:t>
      </w:r>
      <w:r>
        <w:rPr>
          <w:rFonts w:hint="cs"/>
          <w:rtl/>
        </w:rPr>
        <w:t>.</w:t>
      </w:r>
    </w:p>
    <w:p w:rsidR="00D8706B" w:rsidRDefault="00D8706B" w:rsidP="00792B74">
      <w:pPr>
        <w:pStyle w:val="SingleTxt"/>
        <w:rPr>
          <w:rtl/>
        </w:rPr>
      </w:pPr>
      <w:r>
        <w:rPr>
          <w:rFonts w:hint="cs"/>
          <w:rtl/>
        </w:rPr>
        <w:lastRenderedPageBreak/>
        <w:t>13 -</w:t>
      </w:r>
      <w:r>
        <w:rPr>
          <w:rFonts w:hint="cs"/>
          <w:rtl/>
        </w:rPr>
        <w:tab/>
      </w:r>
      <w:r w:rsidR="00792B74">
        <w:rPr>
          <w:rFonts w:hint="cs"/>
          <w:rtl/>
        </w:rPr>
        <w:t>و</w:t>
      </w:r>
      <w:r>
        <w:rPr>
          <w:rFonts w:hint="cs"/>
          <w:rtl/>
        </w:rPr>
        <w:t xml:space="preserve">أعربت لجنة الحقوق الاقتصادية والاجتماعية والثقافية </w:t>
      </w:r>
      <w:r w:rsidR="00792B74">
        <w:rPr>
          <w:rFonts w:hint="cs"/>
          <w:rtl/>
        </w:rPr>
        <w:t>في الآونة الأخيرة</w:t>
      </w:r>
      <w:r>
        <w:rPr>
          <w:rFonts w:hint="cs"/>
          <w:rtl/>
        </w:rPr>
        <w:t xml:space="preserve"> عن قلقها</w:t>
      </w:r>
      <w:r w:rsidR="00792B74">
        <w:rPr>
          <w:rFonts w:hint="cs"/>
          <w:rtl/>
        </w:rPr>
        <w:t xml:space="preserve"> إزاء عدم تجريم القانون الجنائي ل</w:t>
      </w:r>
      <w:r>
        <w:rPr>
          <w:rFonts w:hint="cs"/>
          <w:rtl/>
        </w:rPr>
        <w:t xml:space="preserve">لعنف المنزلي والتحرش الجنسي </w:t>
      </w:r>
      <w:r w:rsidR="00792B74">
        <w:rPr>
          <w:rFonts w:hint="cs"/>
          <w:rtl/>
        </w:rPr>
        <w:t xml:space="preserve">وأوصت بتصنيف </w:t>
      </w:r>
      <w:r>
        <w:rPr>
          <w:rFonts w:hint="cs"/>
          <w:rtl/>
        </w:rPr>
        <w:t xml:space="preserve">العنف المنزلي والتحرش الجنسي في أماكن العمل </w:t>
      </w:r>
      <w:r w:rsidR="00792B74">
        <w:rPr>
          <w:rFonts w:hint="cs"/>
          <w:rtl/>
        </w:rPr>
        <w:t>ض</w:t>
      </w:r>
      <w:r>
        <w:rPr>
          <w:rFonts w:hint="cs"/>
          <w:rtl/>
        </w:rPr>
        <w:t>من الجرائم بموجب القانون الجنائي</w:t>
      </w:r>
      <w:r w:rsidR="00D105C6">
        <w:rPr>
          <w:rFonts w:hint="cs"/>
          <w:rtl/>
        </w:rPr>
        <w:t>،</w:t>
      </w:r>
      <w:r>
        <w:rPr>
          <w:rFonts w:hint="cs"/>
          <w:rtl/>
        </w:rPr>
        <w:t xml:space="preserve"> و</w:t>
      </w:r>
      <w:r w:rsidR="00792B74">
        <w:rPr>
          <w:rFonts w:hint="cs"/>
          <w:rtl/>
        </w:rPr>
        <w:t>ب</w:t>
      </w:r>
      <w:r>
        <w:rPr>
          <w:rFonts w:hint="cs"/>
          <w:rtl/>
        </w:rPr>
        <w:t xml:space="preserve">تدريب القضاة وأفراد إنفاذ القانون </w:t>
      </w:r>
      <w:r w:rsidR="00792B74">
        <w:rPr>
          <w:rFonts w:hint="cs"/>
          <w:rtl/>
        </w:rPr>
        <w:t xml:space="preserve">على الطابع </w:t>
      </w:r>
      <w:r>
        <w:rPr>
          <w:rFonts w:hint="cs"/>
          <w:rtl/>
        </w:rPr>
        <w:t>الإجرامي للعنف المنزلي (</w:t>
      </w:r>
      <w:r>
        <w:t>E/C.12/MAR/CO/3</w:t>
      </w:r>
      <w:r w:rsidR="00792B74">
        <w:rPr>
          <w:rFonts w:hint="cs"/>
          <w:rtl/>
        </w:rPr>
        <w:t>، الفقرتان 23 و 50</w:t>
      </w:r>
      <w:r>
        <w:rPr>
          <w:rFonts w:hint="cs"/>
          <w:rtl/>
        </w:rPr>
        <w:t xml:space="preserve">). </w:t>
      </w:r>
      <w:r w:rsidR="00792B74">
        <w:rPr>
          <w:rFonts w:hint="cs"/>
          <w:rtl/>
        </w:rPr>
        <w:t>ف</w:t>
      </w:r>
      <w:r>
        <w:rPr>
          <w:rFonts w:hint="cs"/>
          <w:rtl/>
        </w:rPr>
        <w:t xml:space="preserve">يرجى الإشارة إلى الخطوات المتخذة استجابة </w:t>
      </w:r>
      <w:r w:rsidR="00792B74">
        <w:rPr>
          <w:rFonts w:hint="cs"/>
          <w:rtl/>
        </w:rPr>
        <w:t>لتلك</w:t>
      </w:r>
      <w:r>
        <w:rPr>
          <w:rFonts w:hint="cs"/>
          <w:rtl/>
        </w:rPr>
        <w:t xml:space="preserve"> التوصيات.</w:t>
      </w:r>
    </w:p>
    <w:p w:rsidR="00D8706B" w:rsidRDefault="00D8706B" w:rsidP="00D105C6">
      <w:pPr>
        <w:pStyle w:val="SingleTxt"/>
        <w:rPr>
          <w:rtl/>
        </w:rPr>
      </w:pPr>
      <w:r>
        <w:rPr>
          <w:rFonts w:hint="cs"/>
          <w:rtl/>
        </w:rPr>
        <w:t>14 -</w:t>
      </w:r>
      <w:r>
        <w:rPr>
          <w:rFonts w:hint="cs"/>
          <w:rtl/>
        </w:rPr>
        <w:tab/>
      </w:r>
      <w:r w:rsidR="00792B74">
        <w:rPr>
          <w:rFonts w:hint="cs"/>
          <w:rtl/>
        </w:rPr>
        <w:t>و</w:t>
      </w:r>
      <w:r>
        <w:rPr>
          <w:rFonts w:hint="cs"/>
          <w:rtl/>
        </w:rPr>
        <w:t xml:space="preserve">يشير التقرير إلى </w:t>
      </w:r>
      <w:r w:rsidR="00792B74">
        <w:rPr>
          <w:rFonts w:hint="cs"/>
          <w:rtl/>
        </w:rPr>
        <w:t xml:space="preserve">أنه اعتُمدت عام 2002 </w:t>
      </w:r>
      <w:r>
        <w:rPr>
          <w:rFonts w:hint="cs"/>
          <w:rtl/>
        </w:rPr>
        <w:t xml:space="preserve">استراتيجية وطنية للقضاء على العنف ضد المرأة شملت ضمن أهدافها الأربعة </w:t>
      </w:r>
      <w:r w:rsidR="00792B74">
        <w:rPr>
          <w:rFonts w:hint="eastAsia"/>
          <w:rtl/>
        </w:rPr>
        <w:t>”</w:t>
      </w:r>
      <w:r>
        <w:rPr>
          <w:rFonts w:hint="cs"/>
          <w:rtl/>
        </w:rPr>
        <w:t>تجريم مختلف أشكال العنف ضد المرأة باعتبارها انتهاكات لحقوق الإنسان</w:t>
      </w:r>
      <w:r>
        <w:rPr>
          <w:rFonts w:hint="eastAsia"/>
          <w:rtl/>
        </w:rPr>
        <w:t xml:space="preserve">“ (الفقرتان 394 و 398). </w:t>
      </w:r>
      <w:r w:rsidR="00792B74">
        <w:rPr>
          <w:rFonts w:hint="cs"/>
          <w:rtl/>
        </w:rPr>
        <w:t>ومع ذلك، لا تشمل خطة</w:t>
      </w:r>
      <w:r>
        <w:rPr>
          <w:rFonts w:hint="cs"/>
          <w:rtl/>
        </w:rPr>
        <w:t xml:space="preserve"> عام 2004 </w:t>
      </w:r>
      <w:r w:rsidR="00792B74">
        <w:rPr>
          <w:rFonts w:hint="cs"/>
          <w:rtl/>
        </w:rPr>
        <w:t xml:space="preserve">الرامية إلى </w:t>
      </w:r>
      <w:r>
        <w:rPr>
          <w:rFonts w:hint="cs"/>
          <w:rtl/>
        </w:rPr>
        <w:t>تنفيذ هذه الاستراتيجية تجريم أعمال العنف ضد المرأة في مجالاتها الخمسة ذات الأولوية (الفقرتان 399 و 400). يرجى تفسير أسباب هذا التباين.</w:t>
      </w:r>
    </w:p>
    <w:p w:rsidR="00D8706B" w:rsidRDefault="00D8706B" w:rsidP="00792B74">
      <w:pPr>
        <w:pStyle w:val="SingleTxt"/>
        <w:rPr>
          <w:rtl/>
        </w:rPr>
      </w:pPr>
      <w:r>
        <w:rPr>
          <w:rFonts w:hint="cs"/>
          <w:rtl/>
        </w:rPr>
        <w:t>15 -</w:t>
      </w:r>
      <w:r>
        <w:rPr>
          <w:rFonts w:hint="cs"/>
          <w:rtl/>
        </w:rPr>
        <w:tab/>
        <w:t xml:space="preserve">ووفقا للتقرير، فإن عدم كفاية مراكز إيواء النساء </w:t>
      </w:r>
      <w:r w:rsidR="00792B74">
        <w:rPr>
          <w:rFonts w:hint="cs"/>
          <w:rtl/>
        </w:rPr>
        <w:t xml:space="preserve">اللاتي يتعرضن للضرب </w:t>
      </w:r>
      <w:r>
        <w:rPr>
          <w:rFonts w:hint="cs"/>
          <w:rtl/>
        </w:rPr>
        <w:t xml:space="preserve">يشكل العائق الرئيسي </w:t>
      </w:r>
      <w:r w:rsidR="00792B74">
        <w:rPr>
          <w:rFonts w:hint="cs"/>
          <w:rtl/>
        </w:rPr>
        <w:t>أمام ا</w:t>
      </w:r>
      <w:r>
        <w:rPr>
          <w:rFonts w:hint="cs"/>
          <w:rtl/>
        </w:rPr>
        <w:t>لتصدي للعنف ضد المرأة (الفقرة 49)</w:t>
      </w:r>
      <w:r w:rsidR="00792B74">
        <w:rPr>
          <w:rFonts w:hint="cs"/>
          <w:rtl/>
        </w:rPr>
        <w:t>.</w:t>
      </w:r>
      <w:r>
        <w:rPr>
          <w:rFonts w:hint="cs"/>
          <w:rtl/>
        </w:rPr>
        <w:t xml:space="preserve"> يرجى الإشارة إلى الخطوا</w:t>
      </w:r>
      <w:r w:rsidR="00792B74">
        <w:rPr>
          <w:rFonts w:hint="cs"/>
          <w:rtl/>
        </w:rPr>
        <w:t>ت الجاري اتخاذها لتقويم الوضع و</w:t>
      </w:r>
      <w:r>
        <w:rPr>
          <w:rFonts w:hint="cs"/>
          <w:rtl/>
        </w:rPr>
        <w:t xml:space="preserve">إنشاء المزيد من </w:t>
      </w:r>
      <w:r w:rsidR="00792B74">
        <w:rPr>
          <w:rFonts w:hint="cs"/>
          <w:rtl/>
        </w:rPr>
        <w:t xml:space="preserve">أماكن </w:t>
      </w:r>
      <w:r>
        <w:rPr>
          <w:rFonts w:hint="cs"/>
          <w:rtl/>
        </w:rPr>
        <w:t>الم</w:t>
      </w:r>
      <w:r w:rsidR="00792B74">
        <w:rPr>
          <w:rFonts w:hint="cs"/>
          <w:rtl/>
        </w:rPr>
        <w:t>أ</w:t>
      </w:r>
      <w:r>
        <w:rPr>
          <w:rFonts w:hint="cs"/>
          <w:rtl/>
        </w:rPr>
        <w:t>وى. وير</w:t>
      </w:r>
      <w:r w:rsidR="00792B74">
        <w:rPr>
          <w:rFonts w:hint="cs"/>
          <w:rtl/>
        </w:rPr>
        <w:t>جى الإشارة كذلك إلى ماهية الخطوات</w:t>
      </w:r>
      <w:r>
        <w:rPr>
          <w:rFonts w:hint="cs"/>
          <w:rtl/>
        </w:rPr>
        <w:t xml:space="preserve"> التي تتخذها الحكومة لدعم المنظمات غير الحكومية </w:t>
      </w:r>
      <w:r w:rsidR="00792B74">
        <w:rPr>
          <w:rFonts w:hint="cs"/>
          <w:rtl/>
        </w:rPr>
        <w:t>بغرض معالجة</w:t>
      </w:r>
      <w:r>
        <w:rPr>
          <w:rFonts w:hint="cs"/>
          <w:rtl/>
        </w:rPr>
        <w:t xml:space="preserve"> مسألة العنف ضد المرأة.</w:t>
      </w:r>
    </w:p>
    <w:p w:rsidR="00D8706B" w:rsidRPr="00DF24F2" w:rsidRDefault="00D8706B" w:rsidP="00D8706B">
      <w:pPr>
        <w:pStyle w:val="SingleTxt"/>
        <w:spacing w:after="0" w:line="120" w:lineRule="exact"/>
        <w:rPr>
          <w:sz w:val="10"/>
          <w:rtl/>
        </w:rPr>
      </w:pPr>
    </w:p>
    <w:p w:rsidR="00D8706B" w:rsidRPr="00DF24F2" w:rsidRDefault="00B80DDA" w:rsidP="00B80DD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r>
      <w:r w:rsidR="00D8706B" w:rsidRPr="00DF24F2">
        <w:rPr>
          <w:rFonts w:hint="cs"/>
          <w:rtl/>
        </w:rPr>
        <w:t xml:space="preserve">الاتجار </w:t>
      </w:r>
      <w:r>
        <w:rPr>
          <w:rFonts w:hint="cs"/>
          <w:rtl/>
        </w:rPr>
        <w:t xml:space="preserve">بالمرأة </w:t>
      </w:r>
      <w:r w:rsidR="00D8706B" w:rsidRPr="00DF24F2">
        <w:rPr>
          <w:rFonts w:hint="cs"/>
          <w:rtl/>
        </w:rPr>
        <w:t>واستغلال</w:t>
      </w:r>
      <w:r>
        <w:rPr>
          <w:rFonts w:hint="cs"/>
          <w:rtl/>
        </w:rPr>
        <w:t>ها</w:t>
      </w:r>
      <w:r w:rsidR="00D8706B" w:rsidRPr="00DF24F2">
        <w:rPr>
          <w:rFonts w:hint="cs"/>
          <w:rtl/>
        </w:rPr>
        <w:t xml:space="preserve"> </w:t>
      </w:r>
      <w:r>
        <w:rPr>
          <w:rFonts w:hint="cs"/>
          <w:rtl/>
        </w:rPr>
        <w:t>في البغاء</w:t>
      </w:r>
    </w:p>
    <w:p w:rsidR="00D8706B" w:rsidRDefault="00D8706B" w:rsidP="00E954AF">
      <w:pPr>
        <w:pStyle w:val="SingleTxt"/>
        <w:rPr>
          <w:rtl/>
        </w:rPr>
      </w:pPr>
      <w:r>
        <w:rPr>
          <w:rFonts w:hint="cs"/>
          <w:rtl/>
        </w:rPr>
        <w:t>16 -</w:t>
      </w:r>
      <w:r>
        <w:rPr>
          <w:rFonts w:hint="cs"/>
          <w:rtl/>
        </w:rPr>
        <w:tab/>
        <w:t xml:space="preserve">يشير التقرير إلى أن القانون الجنائي يجرّم استغلال </w:t>
      </w:r>
      <w:r w:rsidR="00E954AF">
        <w:rPr>
          <w:rFonts w:hint="cs"/>
          <w:rtl/>
        </w:rPr>
        <w:t>الغير في البغاء</w:t>
      </w:r>
      <w:r>
        <w:rPr>
          <w:rFonts w:hint="cs"/>
          <w:rtl/>
        </w:rPr>
        <w:t xml:space="preserve"> (الفقرة 109). </w:t>
      </w:r>
      <w:r w:rsidR="00E954AF">
        <w:rPr>
          <w:rFonts w:hint="cs"/>
          <w:rtl/>
        </w:rPr>
        <w:t>ف</w:t>
      </w:r>
      <w:r>
        <w:rPr>
          <w:rFonts w:hint="cs"/>
          <w:rtl/>
        </w:rPr>
        <w:t xml:space="preserve">يرجى تقديم معلومات عن عدد الأشخاص الذين اعتقلوا بسبب استغلال الغير </w:t>
      </w:r>
      <w:r w:rsidR="00E954AF">
        <w:rPr>
          <w:rFonts w:hint="cs"/>
          <w:rtl/>
        </w:rPr>
        <w:t>في البغاء خلال</w:t>
      </w:r>
      <w:r>
        <w:rPr>
          <w:rFonts w:hint="cs"/>
          <w:rtl/>
        </w:rPr>
        <w:t xml:space="preserve"> السنوات الثلاث الأخيرة</w:t>
      </w:r>
      <w:r w:rsidR="00E954AF">
        <w:rPr>
          <w:rFonts w:hint="cs"/>
          <w:rtl/>
        </w:rPr>
        <w:t>،</w:t>
      </w:r>
      <w:r>
        <w:rPr>
          <w:rFonts w:hint="cs"/>
          <w:rtl/>
        </w:rPr>
        <w:t xml:space="preserve"> وعدد الأشخاص الذين أدينوا </w:t>
      </w:r>
      <w:r w:rsidR="00E954AF">
        <w:rPr>
          <w:rFonts w:hint="cs"/>
          <w:rtl/>
        </w:rPr>
        <w:t>والأحكام الصادرة بحقهم.</w:t>
      </w:r>
    </w:p>
    <w:p w:rsidR="00D8706B" w:rsidRPr="00DF24F2" w:rsidRDefault="00D8706B" w:rsidP="00D8706B">
      <w:pPr>
        <w:pStyle w:val="SingleTxt"/>
        <w:spacing w:after="0" w:line="120" w:lineRule="exact"/>
        <w:rPr>
          <w:sz w:val="10"/>
          <w:rtl/>
        </w:rPr>
      </w:pPr>
    </w:p>
    <w:p w:rsidR="00D8706B" w:rsidRPr="00DF24F2" w:rsidRDefault="00E954AF" w:rsidP="00E954A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العمالة</w:t>
      </w:r>
    </w:p>
    <w:p w:rsidR="00D8706B" w:rsidRDefault="00D8706B" w:rsidP="00A572C5">
      <w:pPr>
        <w:pStyle w:val="SingleTxt"/>
        <w:rPr>
          <w:rtl/>
        </w:rPr>
      </w:pPr>
      <w:r>
        <w:rPr>
          <w:rFonts w:hint="cs"/>
          <w:rtl/>
        </w:rPr>
        <w:t>17 -</w:t>
      </w:r>
      <w:r>
        <w:rPr>
          <w:rFonts w:hint="cs"/>
          <w:rtl/>
        </w:rPr>
        <w:tab/>
      </w:r>
      <w:r w:rsidR="00E954AF">
        <w:rPr>
          <w:rFonts w:hint="cs"/>
          <w:rtl/>
        </w:rPr>
        <w:t xml:space="preserve">يشير التقرير </w:t>
      </w:r>
      <w:r>
        <w:rPr>
          <w:rFonts w:hint="cs"/>
          <w:rtl/>
        </w:rPr>
        <w:t xml:space="preserve">إلى أن </w:t>
      </w:r>
      <w:r w:rsidR="00E954AF">
        <w:rPr>
          <w:rFonts w:hint="cs"/>
          <w:rtl/>
        </w:rPr>
        <w:t>تهيئة الوظائف</w:t>
      </w:r>
      <w:r>
        <w:rPr>
          <w:rFonts w:hint="cs"/>
          <w:rtl/>
        </w:rPr>
        <w:t xml:space="preserve"> يع</w:t>
      </w:r>
      <w:r w:rsidR="00E954AF">
        <w:rPr>
          <w:rFonts w:hint="cs"/>
          <w:rtl/>
        </w:rPr>
        <w:t>ُ</w:t>
      </w:r>
      <w:r>
        <w:rPr>
          <w:rFonts w:hint="cs"/>
          <w:rtl/>
        </w:rPr>
        <w:t xml:space="preserve">د سمة أساسية من سمات استراتيجية التنمية </w:t>
      </w:r>
      <w:r w:rsidR="00E954AF">
        <w:rPr>
          <w:rFonts w:hint="cs"/>
          <w:rtl/>
        </w:rPr>
        <w:t xml:space="preserve">المغربية </w:t>
      </w:r>
      <w:r>
        <w:rPr>
          <w:rFonts w:hint="cs"/>
          <w:rtl/>
        </w:rPr>
        <w:t xml:space="preserve">غير أن ذلك اتسم </w:t>
      </w:r>
      <w:r w:rsidR="00E954AF">
        <w:rPr>
          <w:rFonts w:hint="eastAsia"/>
          <w:rtl/>
        </w:rPr>
        <w:t>”</w:t>
      </w:r>
      <w:r>
        <w:rPr>
          <w:rFonts w:hint="cs"/>
          <w:rtl/>
        </w:rPr>
        <w:t>بغياب البعد الجنساني بشكل ملفت للنظر</w:t>
      </w:r>
      <w:r w:rsidR="00E954AF">
        <w:rPr>
          <w:rFonts w:hint="eastAsia"/>
          <w:rtl/>
        </w:rPr>
        <w:t>“</w:t>
      </w:r>
      <w:r>
        <w:rPr>
          <w:rFonts w:hint="cs"/>
          <w:rtl/>
        </w:rPr>
        <w:t xml:space="preserve"> من المبادرات العديدة </w:t>
      </w:r>
      <w:r w:rsidR="00E954AF">
        <w:rPr>
          <w:rFonts w:hint="cs"/>
          <w:rtl/>
        </w:rPr>
        <w:t xml:space="preserve">الرامية إلى تهيئة </w:t>
      </w:r>
      <w:r>
        <w:rPr>
          <w:rFonts w:hint="cs"/>
          <w:rtl/>
        </w:rPr>
        <w:t>الوظائف (الفقرتان 246 و 247) و</w:t>
      </w:r>
      <w:r w:rsidR="00E954AF">
        <w:rPr>
          <w:rFonts w:hint="cs"/>
          <w:rtl/>
        </w:rPr>
        <w:t>أن</w:t>
      </w:r>
      <w:r>
        <w:rPr>
          <w:rFonts w:hint="cs"/>
          <w:rtl/>
        </w:rPr>
        <w:t xml:space="preserve"> المنظور الجنساني </w:t>
      </w:r>
      <w:r w:rsidR="00E954AF">
        <w:rPr>
          <w:rFonts w:hint="cs"/>
          <w:rtl/>
        </w:rPr>
        <w:t xml:space="preserve">لم يعمم تعميما </w:t>
      </w:r>
      <w:r>
        <w:rPr>
          <w:rFonts w:hint="cs"/>
          <w:rtl/>
        </w:rPr>
        <w:t xml:space="preserve">مناسبا في استراتيجيات التنمية الاقتصادية (الفقرة 292). </w:t>
      </w:r>
      <w:r w:rsidR="00E954AF">
        <w:rPr>
          <w:rFonts w:hint="cs"/>
          <w:rtl/>
        </w:rPr>
        <w:t>ف</w:t>
      </w:r>
      <w:r>
        <w:rPr>
          <w:rFonts w:hint="cs"/>
          <w:rtl/>
        </w:rPr>
        <w:t xml:space="preserve">يرجى تحديد الخطوات الجاري اتخاذها، إلى </w:t>
      </w:r>
      <w:r w:rsidR="00E954AF">
        <w:rPr>
          <w:rFonts w:hint="cs"/>
          <w:rtl/>
        </w:rPr>
        <w:t xml:space="preserve">جانب </w:t>
      </w:r>
      <w:r>
        <w:rPr>
          <w:rFonts w:hint="cs"/>
          <w:rtl/>
        </w:rPr>
        <w:t xml:space="preserve">الأهداف </w:t>
      </w:r>
      <w:r w:rsidR="00E954AF">
        <w:rPr>
          <w:rFonts w:hint="cs"/>
          <w:rtl/>
        </w:rPr>
        <w:t xml:space="preserve">ذات المهل </w:t>
      </w:r>
      <w:r>
        <w:rPr>
          <w:rFonts w:hint="cs"/>
          <w:rtl/>
        </w:rPr>
        <w:t>الزمنية</w:t>
      </w:r>
      <w:r w:rsidR="00E954AF">
        <w:rPr>
          <w:rFonts w:hint="cs"/>
          <w:rtl/>
        </w:rPr>
        <w:t xml:space="preserve"> المحددة</w:t>
      </w:r>
      <w:r>
        <w:rPr>
          <w:rFonts w:hint="cs"/>
          <w:rtl/>
        </w:rPr>
        <w:t xml:space="preserve">، لتعميم شواغل المساواة بين الجنسين في عملية </w:t>
      </w:r>
      <w:r w:rsidR="00E954AF">
        <w:rPr>
          <w:rFonts w:hint="cs"/>
          <w:rtl/>
        </w:rPr>
        <w:t>تهيئة</w:t>
      </w:r>
      <w:r>
        <w:rPr>
          <w:rFonts w:hint="cs"/>
          <w:rtl/>
        </w:rPr>
        <w:t xml:space="preserve"> الوظائف واستراتيجيات التنمية الاقتصادية، وخاصة في ضوء </w:t>
      </w:r>
      <w:r w:rsidR="00E954AF">
        <w:rPr>
          <w:rFonts w:hint="cs"/>
          <w:rtl/>
        </w:rPr>
        <w:t>ارتفاع</w:t>
      </w:r>
      <w:r>
        <w:rPr>
          <w:rFonts w:hint="cs"/>
          <w:rtl/>
        </w:rPr>
        <w:t xml:space="preserve"> معدلات البطالة لدى ال</w:t>
      </w:r>
      <w:r w:rsidR="00A572C5">
        <w:rPr>
          <w:rFonts w:hint="cs"/>
          <w:rtl/>
        </w:rPr>
        <w:t>ن</w:t>
      </w:r>
      <w:r>
        <w:rPr>
          <w:rFonts w:hint="cs"/>
          <w:rtl/>
        </w:rPr>
        <w:t>س</w:t>
      </w:r>
      <w:r w:rsidR="00A572C5">
        <w:rPr>
          <w:rFonts w:hint="cs"/>
          <w:rtl/>
        </w:rPr>
        <w:t>اء</w:t>
      </w:r>
      <w:r>
        <w:rPr>
          <w:rFonts w:hint="cs"/>
          <w:rtl/>
        </w:rPr>
        <w:t xml:space="preserve"> </w:t>
      </w:r>
      <w:r w:rsidR="00A572C5">
        <w:rPr>
          <w:rFonts w:hint="cs"/>
          <w:rtl/>
        </w:rPr>
        <w:t>ع</w:t>
      </w:r>
      <w:r>
        <w:rPr>
          <w:rFonts w:hint="cs"/>
          <w:rtl/>
        </w:rPr>
        <w:t>ن معدلات البطالة لدى الرجال، و</w:t>
      </w:r>
      <w:r w:rsidR="00A572C5">
        <w:rPr>
          <w:rFonts w:hint="cs"/>
          <w:rtl/>
        </w:rPr>
        <w:t>اتسام</w:t>
      </w:r>
      <w:r>
        <w:rPr>
          <w:rFonts w:hint="cs"/>
          <w:rtl/>
        </w:rPr>
        <w:t xml:space="preserve"> هيكل بطالة النساء </w:t>
      </w:r>
      <w:r w:rsidR="00A572C5">
        <w:rPr>
          <w:rFonts w:hint="cs"/>
          <w:rtl/>
        </w:rPr>
        <w:t xml:space="preserve">بطابع نظامي </w:t>
      </w:r>
      <w:r>
        <w:rPr>
          <w:rFonts w:hint="cs"/>
          <w:rtl/>
        </w:rPr>
        <w:t>و</w:t>
      </w:r>
      <w:r w:rsidR="00A572C5">
        <w:rPr>
          <w:rFonts w:hint="cs"/>
          <w:rtl/>
        </w:rPr>
        <w:t xml:space="preserve">استشراء </w:t>
      </w:r>
      <w:r>
        <w:rPr>
          <w:rFonts w:hint="cs"/>
          <w:rtl/>
        </w:rPr>
        <w:t>التمييز ضد المرأة في سوق ا</w:t>
      </w:r>
      <w:r w:rsidR="00A572C5">
        <w:rPr>
          <w:rFonts w:hint="cs"/>
          <w:rtl/>
        </w:rPr>
        <w:t>لعمل (الفقرات 240 و 244 و 245).</w:t>
      </w:r>
    </w:p>
    <w:p w:rsidR="00D8706B" w:rsidRDefault="00D8706B" w:rsidP="00A572C5">
      <w:pPr>
        <w:pStyle w:val="SingleTxt"/>
        <w:rPr>
          <w:rtl/>
        </w:rPr>
      </w:pPr>
      <w:r>
        <w:rPr>
          <w:rFonts w:hint="cs"/>
          <w:rtl/>
        </w:rPr>
        <w:lastRenderedPageBreak/>
        <w:t>18 -</w:t>
      </w:r>
      <w:r>
        <w:rPr>
          <w:rFonts w:hint="cs"/>
          <w:rtl/>
        </w:rPr>
        <w:tab/>
        <w:t xml:space="preserve">وبينما </w:t>
      </w:r>
      <w:r w:rsidR="00A572C5">
        <w:rPr>
          <w:rFonts w:hint="cs"/>
          <w:rtl/>
        </w:rPr>
        <w:t>يشير</w:t>
      </w:r>
      <w:r>
        <w:rPr>
          <w:rFonts w:hint="cs"/>
          <w:rtl/>
        </w:rPr>
        <w:t xml:space="preserve"> التقرير </w:t>
      </w:r>
      <w:r w:rsidR="00A572C5">
        <w:rPr>
          <w:rFonts w:hint="cs"/>
          <w:rtl/>
        </w:rPr>
        <w:t xml:space="preserve">إلى </w:t>
      </w:r>
      <w:r>
        <w:rPr>
          <w:rFonts w:hint="cs"/>
          <w:rtl/>
        </w:rPr>
        <w:t xml:space="preserve">أن قانون العمل </w:t>
      </w:r>
      <w:r w:rsidR="00A572C5">
        <w:rPr>
          <w:rFonts w:hint="cs"/>
          <w:rtl/>
        </w:rPr>
        <w:t>يحظر</w:t>
      </w:r>
      <w:r>
        <w:rPr>
          <w:rFonts w:hint="cs"/>
          <w:rtl/>
        </w:rPr>
        <w:t xml:space="preserve"> التحرش الجنسي </w:t>
      </w:r>
      <w:r w:rsidR="00A572C5">
        <w:rPr>
          <w:rFonts w:hint="cs"/>
          <w:rtl/>
        </w:rPr>
        <w:t>و</w:t>
      </w:r>
      <w:r>
        <w:rPr>
          <w:rFonts w:hint="cs"/>
          <w:rtl/>
        </w:rPr>
        <w:t xml:space="preserve">أنه قد تم سن </w:t>
      </w:r>
      <w:r w:rsidR="00A572C5">
        <w:rPr>
          <w:rFonts w:hint="cs"/>
          <w:rtl/>
        </w:rPr>
        <w:t>تشريع لحماية خدم المنازل (الفقرتان</w:t>
      </w:r>
      <w:r>
        <w:rPr>
          <w:rFonts w:hint="cs"/>
          <w:rtl/>
        </w:rPr>
        <w:t xml:space="preserve"> 262 و 263)، فإن التقرير ي</w:t>
      </w:r>
      <w:r w:rsidR="00A572C5">
        <w:rPr>
          <w:rFonts w:hint="cs"/>
          <w:rtl/>
        </w:rPr>
        <w:t>ُ</w:t>
      </w:r>
      <w:r>
        <w:rPr>
          <w:rFonts w:hint="cs"/>
          <w:rtl/>
        </w:rPr>
        <w:t>قر</w:t>
      </w:r>
      <w:r w:rsidR="00A572C5">
        <w:rPr>
          <w:rFonts w:hint="cs"/>
          <w:rtl/>
        </w:rPr>
        <w:t>ّ</w:t>
      </w:r>
      <w:r>
        <w:rPr>
          <w:rFonts w:hint="cs"/>
          <w:rtl/>
        </w:rPr>
        <w:t xml:space="preserve"> بأن هذه التدابير </w:t>
      </w:r>
      <w:r w:rsidR="00A572C5">
        <w:rPr>
          <w:rFonts w:hint="eastAsia"/>
          <w:rtl/>
        </w:rPr>
        <w:t>”</w:t>
      </w:r>
      <w:r>
        <w:rPr>
          <w:rFonts w:hint="cs"/>
          <w:rtl/>
        </w:rPr>
        <w:t xml:space="preserve">غير كافية لمكافحة التحرش الجنسي مكافحة فعالة في غياب </w:t>
      </w:r>
      <w:r w:rsidR="00A572C5">
        <w:rPr>
          <w:rFonts w:hint="cs"/>
          <w:rtl/>
        </w:rPr>
        <w:t>الإجراءات الداعمة</w:t>
      </w:r>
      <w:r>
        <w:rPr>
          <w:rFonts w:hint="cs"/>
          <w:rtl/>
        </w:rPr>
        <w:t xml:space="preserve">“ (الفقرة 264). </w:t>
      </w:r>
      <w:r w:rsidR="00A572C5">
        <w:rPr>
          <w:rFonts w:hint="cs"/>
          <w:rtl/>
        </w:rPr>
        <w:t>ف</w:t>
      </w:r>
      <w:r>
        <w:rPr>
          <w:rFonts w:hint="cs"/>
          <w:rtl/>
        </w:rPr>
        <w:t xml:space="preserve">يرجى الإشارة إلى أنماط إجراءات </w:t>
      </w:r>
      <w:r w:rsidR="00A572C5">
        <w:rPr>
          <w:rFonts w:hint="cs"/>
          <w:rtl/>
        </w:rPr>
        <w:t xml:space="preserve">الدعم </w:t>
      </w:r>
      <w:r>
        <w:rPr>
          <w:rFonts w:hint="cs"/>
          <w:rtl/>
        </w:rPr>
        <w:t xml:space="preserve">المتخذة </w:t>
      </w:r>
      <w:r w:rsidR="00A572C5">
        <w:rPr>
          <w:rFonts w:hint="cs"/>
          <w:rtl/>
        </w:rPr>
        <w:t>بغرض ا</w:t>
      </w:r>
      <w:r>
        <w:rPr>
          <w:rFonts w:hint="cs"/>
          <w:rtl/>
        </w:rPr>
        <w:t>لتصد</w:t>
      </w:r>
      <w:r w:rsidR="00A572C5">
        <w:rPr>
          <w:rFonts w:hint="cs"/>
          <w:rtl/>
        </w:rPr>
        <w:t>ي للتحرش الجنسي في أماكن العمل.</w:t>
      </w:r>
    </w:p>
    <w:p w:rsidR="00D8706B" w:rsidRDefault="00D8706B" w:rsidP="00A572C5">
      <w:pPr>
        <w:pStyle w:val="SingleTxt"/>
        <w:rPr>
          <w:rtl/>
        </w:rPr>
      </w:pPr>
      <w:r>
        <w:rPr>
          <w:rFonts w:hint="cs"/>
          <w:rtl/>
        </w:rPr>
        <w:t>19 -</w:t>
      </w:r>
      <w:r>
        <w:rPr>
          <w:rFonts w:hint="cs"/>
          <w:rtl/>
        </w:rPr>
        <w:tab/>
        <w:t xml:space="preserve">يشير التقرير إلى أن </w:t>
      </w:r>
      <w:r w:rsidR="00D105C6">
        <w:rPr>
          <w:rFonts w:hint="eastAsia"/>
          <w:rtl/>
        </w:rPr>
        <w:t>”</w:t>
      </w:r>
      <w:r w:rsidR="00A572C5">
        <w:rPr>
          <w:rFonts w:hint="cs"/>
          <w:rtl/>
        </w:rPr>
        <w:t xml:space="preserve">إمكانية </w:t>
      </w:r>
      <w:r>
        <w:rPr>
          <w:rFonts w:hint="cs"/>
          <w:rtl/>
        </w:rPr>
        <w:t xml:space="preserve">الوصول إلى الموارد والقروض والأصول </w:t>
      </w:r>
      <w:r w:rsidR="00A572C5">
        <w:rPr>
          <w:rFonts w:hint="cs"/>
          <w:rtl/>
        </w:rPr>
        <w:t>لا يزال يشوبها</w:t>
      </w:r>
      <w:r>
        <w:rPr>
          <w:rFonts w:hint="cs"/>
          <w:rtl/>
        </w:rPr>
        <w:t xml:space="preserve"> عدم المساواة الذي يعود غالبا إلى أسباب ذات صبغة ثقافية</w:t>
      </w:r>
      <w:r w:rsidR="00A572C5">
        <w:rPr>
          <w:rFonts w:hint="eastAsia"/>
          <w:rtl/>
        </w:rPr>
        <w:t>“ وأن شروط الإقرا</w:t>
      </w:r>
      <w:r w:rsidR="00A572C5">
        <w:rPr>
          <w:rFonts w:hint="cs"/>
          <w:rtl/>
        </w:rPr>
        <w:t>ض</w:t>
      </w:r>
      <w:r>
        <w:rPr>
          <w:rFonts w:hint="eastAsia"/>
          <w:rtl/>
        </w:rPr>
        <w:t xml:space="preserve"> ت</w:t>
      </w:r>
      <w:r>
        <w:rPr>
          <w:rFonts w:hint="cs"/>
          <w:rtl/>
        </w:rPr>
        <w:t xml:space="preserve">عرقل تمويل المشاريع التجارية التي </w:t>
      </w:r>
      <w:r w:rsidR="00A572C5">
        <w:rPr>
          <w:rFonts w:hint="cs"/>
          <w:rtl/>
        </w:rPr>
        <w:t>تنظمها</w:t>
      </w:r>
      <w:r>
        <w:rPr>
          <w:rFonts w:hint="cs"/>
          <w:rtl/>
        </w:rPr>
        <w:t xml:space="preserve"> النساء (الفقرة 295). </w:t>
      </w:r>
      <w:r w:rsidR="00A572C5">
        <w:rPr>
          <w:rFonts w:hint="cs"/>
          <w:rtl/>
        </w:rPr>
        <w:t>ف</w:t>
      </w:r>
      <w:r>
        <w:rPr>
          <w:rFonts w:hint="cs"/>
          <w:rtl/>
        </w:rPr>
        <w:t>يرجى الإشارة إلى</w:t>
      </w:r>
      <w:r w:rsidR="00A572C5">
        <w:rPr>
          <w:rFonts w:hint="cs"/>
          <w:rtl/>
        </w:rPr>
        <w:t xml:space="preserve"> الخطوات الجاري اتخاذها لتيسير ح</w:t>
      </w:r>
      <w:r>
        <w:rPr>
          <w:rFonts w:hint="cs"/>
          <w:rtl/>
        </w:rPr>
        <w:t xml:space="preserve">صول النساء </w:t>
      </w:r>
      <w:r w:rsidR="00A572C5">
        <w:rPr>
          <w:rFonts w:hint="cs"/>
          <w:rtl/>
        </w:rPr>
        <w:t>ع</w:t>
      </w:r>
      <w:r>
        <w:rPr>
          <w:rFonts w:hint="cs"/>
          <w:rtl/>
        </w:rPr>
        <w:t xml:space="preserve">لى </w:t>
      </w:r>
      <w:r w:rsidR="00A572C5">
        <w:rPr>
          <w:rFonts w:hint="cs"/>
          <w:rtl/>
        </w:rPr>
        <w:t xml:space="preserve">الائتمان والقروض ذات </w:t>
      </w:r>
      <w:r>
        <w:rPr>
          <w:rFonts w:hint="cs"/>
          <w:rtl/>
        </w:rPr>
        <w:t xml:space="preserve">الفوائد المنخفضة، وخاصة في ضوء التعليقات الختامية السابقة </w:t>
      </w:r>
      <w:r w:rsidR="00A572C5">
        <w:rPr>
          <w:rFonts w:hint="cs"/>
          <w:rtl/>
        </w:rPr>
        <w:t>الصادرة عن ا</w:t>
      </w:r>
      <w:r>
        <w:rPr>
          <w:rFonts w:hint="cs"/>
          <w:rtl/>
        </w:rPr>
        <w:t xml:space="preserve">للجنة التي أوصت </w:t>
      </w:r>
      <w:r w:rsidR="00A572C5">
        <w:rPr>
          <w:rFonts w:hint="cs"/>
          <w:rtl/>
        </w:rPr>
        <w:t>ب</w:t>
      </w:r>
      <w:r>
        <w:rPr>
          <w:rFonts w:hint="cs"/>
          <w:rtl/>
        </w:rPr>
        <w:t xml:space="preserve">أن تكفل </w:t>
      </w:r>
      <w:r w:rsidR="00A572C5">
        <w:rPr>
          <w:rFonts w:hint="cs"/>
          <w:rtl/>
        </w:rPr>
        <w:t xml:space="preserve">الدولة </w:t>
      </w:r>
      <w:r>
        <w:rPr>
          <w:rFonts w:hint="cs"/>
          <w:rtl/>
        </w:rPr>
        <w:t xml:space="preserve">حصول المرأة، </w:t>
      </w:r>
      <w:r w:rsidR="00A572C5">
        <w:rPr>
          <w:rFonts w:hint="cs"/>
          <w:rtl/>
        </w:rPr>
        <w:t>بشكل متكافئ</w:t>
      </w:r>
      <w:r>
        <w:rPr>
          <w:rFonts w:hint="cs"/>
          <w:rtl/>
        </w:rPr>
        <w:t>، على القروض وأشكال الدعم المالي الأخرى (</w:t>
      </w:r>
      <w:r w:rsidR="00A572C5">
        <w:t>A/58/38</w:t>
      </w:r>
      <w:r w:rsidR="00A572C5">
        <w:rPr>
          <w:rFonts w:hint="cs"/>
          <w:rtl/>
        </w:rPr>
        <w:t xml:space="preserve">، </w:t>
      </w:r>
      <w:r>
        <w:rPr>
          <w:rFonts w:hint="cs"/>
          <w:rtl/>
        </w:rPr>
        <w:t>الفقرة 175).</w:t>
      </w:r>
    </w:p>
    <w:p w:rsidR="00A572C5" w:rsidRPr="00A572C5" w:rsidRDefault="00A572C5" w:rsidP="00A572C5">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jc w:val="lowKashida"/>
        <w:rPr>
          <w:sz w:val="12"/>
          <w:rtl/>
        </w:rPr>
      </w:pPr>
    </w:p>
    <w:p w:rsidR="004F5E1B" w:rsidRDefault="004F5E1B" w:rsidP="00A572C5">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التعليم والقوالب النمطية</w:t>
      </w:r>
    </w:p>
    <w:p w:rsidR="004F5E1B" w:rsidRDefault="00A572C5" w:rsidP="00A572C5">
      <w:pPr>
        <w:pStyle w:val="SingleTxt"/>
        <w:rPr>
          <w:rtl/>
        </w:rPr>
      </w:pPr>
      <w:r>
        <w:rPr>
          <w:rFonts w:hint="cs"/>
          <w:rtl/>
        </w:rPr>
        <w:t>20 -</w:t>
      </w:r>
      <w:r>
        <w:rPr>
          <w:rFonts w:hint="cs"/>
          <w:rtl/>
        </w:rPr>
        <w:tab/>
        <w:t>يبين</w:t>
      </w:r>
      <w:r w:rsidR="004F5E1B">
        <w:rPr>
          <w:rFonts w:hint="cs"/>
          <w:rtl/>
        </w:rPr>
        <w:t xml:space="preserve"> التقرير </w:t>
      </w:r>
      <w:r>
        <w:rPr>
          <w:rFonts w:hint="cs"/>
          <w:rtl/>
        </w:rPr>
        <w:t xml:space="preserve">أن </w:t>
      </w:r>
      <w:r w:rsidR="004F5E1B">
        <w:rPr>
          <w:rFonts w:hint="cs"/>
          <w:rtl/>
        </w:rPr>
        <w:t>انخفاض مستوى الإلمام بالقراءة والكتابة في صفوف النسا</w:t>
      </w:r>
      <w:r>
        <w:rPr>
          <w:rFonts w:hint="cs"/>
          <w:rtl/>
        </w:rPr>
        <w:t xml:space="preserve">ء المغربيات، وخاصة في الأرياف، هو </w:t>
      </w:r>
      <w:r w:rsidR="004F5E1B">
        <w:rPr>
          <w:rFonts w:hint="cs"/>
          <w:rtl/>
        </w:rPr>
        <w:t>أحد الأمور التي تعوق المساواة بين الجنسين (الفقرة 49)</w:t>
      </w:r>
      <w:r>
        <w:rPr>
          <w:rFonts w:hint="cs"/>
          <w:rtl/>
        </w:rPr>
        <w:t>،</w:t>
      </w:r>
      <w:r w:rsidR="004F5E1B">
        <w:rPr>
          <w:rFonts w:hint="cs"/>
          <w:rtl/>
        </w:rPr>
        <w:t xml:space="preserve"> ويشير إلى </w:t>
      </w:r>
      <w:r>
        <w:rPr>
          <w:rFonts w:hint="cs"/>
          <w:rtl/>
        </w:rPr>
        <w:t xml:space="preserve">أن </w:t>
      </w:r>
      <w:r w:rsidR="004F5E1B">
        <w:rPr>
          <w:rFonts w:hint="cs"/>
          <w:rtl/>
        </w:rPr>
        <w:t xml:space="preserve">ضعف التنسيق فيما بين </w:t>
      </w:r>
      <w:r>
        <w:rPr>
          <w:rFonts w:hint="cs"/>
          <w:rtl/>
        </w:rPr>
        <w:t>راسمي</w:t>
      </w:r>
      <w:r w:rsidR="004F5E1B">
        <w:rPr>
          <w:rFonts w:hint="cs"/>
          <w:rtl/>
        </w:rPr>
        <w:t xml:space="preserve"> السياسات والبرامج المتصلة بمحو الأمية </w:t>
      </w:r>
      <w:r>
        <w:rPr>
          <w:rFonts w:hint="cs"/>
          <w:rtl/>
        </w:rPr>
        <w:t>يعوق</w:t>
      </w:r>
      <w:r w:rsidR="004F5E1B">
        <w:rPr>
          <w:rFonts w:hint="cs"/>
          <w:rtl/>
        </w:rPr>
        <w:t xml:space="preserve"> فعاليتها </w:t>
      </w:r>
      <w:r>
        <w:rPr>
          <w:rFonts w:hint="cs"/>
          <w:rtl/>
        </w:rPr>
        <w:t xml:space="preserve">إلى </w:t>
      </w:r>
      <w:r w:rsidR="004F5E1B">
        <w:rPr>
          <w:rFonts w:hint="cs"/>
          <w:rtl/>
        </w:rPr>
        <w:t xml:space="preserve">درجة جعلت معظم المشاريع </w:t>
      </w:r>
      <w:r>
        <w:rPr>
          <w:rFonts w:hint="cs"/>
          <w:rtl/>
        </w:rPr>
        <w:t>لم تتخط</w:t>
      </w:r>
      <w:r w:rsidR="004F5E1B">
        <w:rPr>
          <w:rFonts w:hint="cs"/>
          <w:rtl/>
        </w:rPr>
        <w:t xml:space="preserve"> مرحلة التجريب (الفقرة 198). يرجى تحديد التدابير الجاري اتخاذها لتنسيق السياسات والبرامج الرامية إلى تحسين معدلات إلمام المرأة بالقراءة والكت</w:t>
      </w:r>
      <w:r>
        <w:rPr>
          <w:rFonts w:hint="cs"/>
          <w:rtl/>
        </w:rPr>
        <w:t>ابة و</w:t>
      </w:r>
      <w:r w:rsidR="004F5E1B">
        <w:rPr>
          <w:rFonts w:hint="cs"/>
          <w:rtl/>
        </w:rPr>
        <w:t xml:space="preserve">تحسين فعالية </w:t>
      </w:r>
      <w:r>
        <w:rPr>
          <w:rFonts w:hint="cs"/>
          <w:rtl/>
        </w:rPr>
        <w:t>تلك</w:t>
      </w:r>
      <w:r w:rsidR="004F5E1B">
        <w:rPr>
          <w:rFonts w:hint="cs"/>
          <w:rtl/>
        </w:rPr>
        <w:t xml:space="preserve"> السياسات والبرامج.</w:t>
      </w:r>
    </w:p>
    <w:p w:rsidR="004F5E1B" w:rsidRDefault="004F5E1B" w:rsidP="006C58EB">
      <w:pPr>
        <w:pStyle w:val="SingleTxt"/>
        <w:rPr>
          <w:rtl/>
        </w:rPr>
      </w:pPr>
      <w:r>
        <w:rPr>
          <w:rFonts w:hint="cs"/>
          <w:rtl/>
        </w:rPr>
        <w:t>21 -</w:t>
      </w:r>
      <w:r>
        <w:rPr>
          <w:rFonts w:hint="cs"/>
          <w:rtl/>
        </w:rPr>
        <w:tab/>
        <w:t xml:space="preserve">ويشير التقرير </w:t>
      </w:r>
      <w:r w:rsidR="00A572C5">
        <w:rPr>
          <w:rFonts w:hint="cs"/>
          <w:rtl/>
        </w:rPr>
        <w:t xml:space="preserve">إلى </w:t>
      </w:r>
      <w:r>
        <w:rPr>
          <w:rFonts w:hint="cs"/>
          <w:rtl/>
        </w:rPr>
        <w:t xml:space="preserve">أنه </w:t>
      </w:r>
      <w:r w:rsidR="00A572C5">
        <w:rPr>
          <w:rFonts w:hint="cs"/>
          <w:rtl/>
        </w:rPr>
        <w:t xml:space="preserve">تم </w:t>
      </w:r>
      <w:r>
        <w:rPr>
          <w:rFonts w:hint="cs"/>
          <w:rtl/>
        </w:rPr>
        <w:t>عام 1997</w:t>
      </w:r>
      <w:r w:rsidR="006C58EB">
        <w:rPr>
          <w:rFonts w:hint="cs"/>
          <w:rtl/>
        </w:rPr>
        <w:t xml:space="preserve"> تحليل</w:t>
      </w:r>
      <w:r>
        <w:rPr>
          <w:rFonts w:hint="cs"/>
          <w:rtl/>
        </w:rPr>
        <w:t xml:space="preserve"> 120</w:t>
      </w:r>
      <w:r w:rsidR="00A572C5" w:rsidRPr="00A572C5">
        <w:rPr>
          <w:rFonts w:hint="cs"/>
          <w:rtl/>
        </w:rPr>
        <w:t xml:space="preserve"> </w:t>
      </w:r>
      <w:r w:rsidR="00A572C5">
        <w:rPr>
          <w:rFonts w:hint="cs"/>
          <w:rtl/>
        </w:rPr>
        <w:t>كتابا</w:t>
      </w:r>
      <w:r>
        <w:rPr>
          <w:rFonts w:hint="cs"/>
          <w:rtl/>
        </w:rPr>
        <w:t xml:space="preserve"> مدرسيا وتبين أنها تنطوي على تمييز جنساني (الفقرة 81). </w:t>
      </w:r>
      <w:r w:rsidR="006C58EB">
        <w:rPr>
          <w:rFonts w:hint="cs"/>
          <w:rtl/>
        </w:rPr>
        <w:t>ف</w:t>
      </w:r>
      <w:r>
        <w:rPr>
          <w:rFonts w:hint="cs"/>
          <w:rtl/>
        </w:rPr>
        <w:t xml:space="preserve">يرجى الإشارة إلى ما إذا كانت </w:t>
      </w:r>
      <w:r w:rsidR="006C58EB">
        <w:rPr>
          <w:rFonts w:hint="cs"/>
          <w:rtl/>
        </w:rPr>
        <w:t>تلك الكتب</w:t>
      </w:r>
      <w:r>
        <w:rPr>
          <w:rFonts w:hint="cs"/>
          <w:rtl/>
        </w:rPr>
        <w:t xml:space="preserve"> المدرسية قد نقّحت لإزالة القوالب النمطية الجنسانية و</w:t>
      </w:r>
      <w:r w:rsidR="006C58EB">
        <w:rPr>
          <w:rFonts w:hint="cs"/>
          <w:rtl/>
        </w:rPr>
        <w:t xml:space="preserve">إلى </w:t>
      </w:r>
      <w:r>
        <w:rPr>
          <w:rFonts w:hint="cs"/>
          <w:rtl/>
        </w:rPr>
        <w:t xml:space="preserve">ماهية الخطوات المتخذة لكفالة عدم وجود أدوار </w:t>
      </w:r>
      <w:r w:rsidR="006C58EB">
        <w:rPr>
          <w:rFonts w:hint="cs"/>
          <w:rtl/>
        </w:rPr>
        <w:t>نمطية للرجال والنساء في الكتب</w:t>
      </w:r>
      <w:r>
        <w:rPr>
          <w:rFonts w:hint="cs"/>
          <w:rtl/>
        </w:rPr>
        <w:t xml:space="preserve"> المدرسية والمناهج الدراسية. </w:t>
      </w:r>
    </w:p>
    <w:p w:rsidR="004F5E1B" w:rsidRDefault="006C58EB" w:rsidP="006C58EB">
      <w:pPr>
        <w:pStyle w:val="SingleTxt"/>
        <w:rPr>
          <w:rtl/>
        </w:rPr>
      </w:pPr>
      <w:r>
        <w:rPr>
          <w:rFonts w:hint="cs"/>
          <w:rtl/>
        </w:rPr>
        <w:t>22 -</w:t>
      </w:r>
      <w:r>
        <w:rPr>
          <w:rFonts w:hint="cs"/>
          <w:rtl/>
        </w:rPr>
        <w:tab/>
        <w:t xml:space="preserve">كما </w:t>
      </w:r>
      <w:r w:rsidR="004F5E1B">
        <w:rPr>
          <w:rFonts w:hint="cs"/>
          <w:rtl/>
        </w:rPr>
        <w:t xml:space="preserve">يشير التقرير إلى هيمنة الفتيات على </w:t>
      </w:r>
      <w:r>
        <w:rPr>
          <w:rFonts w:hint="eastAsia"/>
          <w:rtl/>
        </w:rPr>
        <w:t>”</w:t>
      </w:r>
      <w:r w:rsidR="004F5E1B">
        <w:rPr>
          <w:rFonts w:hint="cs"/>
          <w:rtl/>
        </w:rPr>
        <w:t xml:space="preserve">المجالات التعليمية التي تشكل امتدادا للشأن المنزلي </w:t>
      </w:r>
      <w:r w:rsidR="004F5E1B">
        <w:rPr>
          <w:rFonts w:hint="eastAsia"/>
          <w:rtl/>
        </w:rPr>
        <w:t>والتي لا تزودهن بمهارات قابلة للتسويق</w:t>
      </w:r>
      <w:r w:rsidR="004F5E1B">
        <w:rPr>
          <w:rFonts w:hint="cs"/>
          <w:rtl/>
        </w:rPr>
        <w:t xml:space="preserve">“ (الفقرة 201). </w:t>
      </w:r>
      <w:r>
        <w:rPr>
          <w:rFonts w:hint="cs"/>
          <w:rtl/>
        </w:rPr>
        <w:t>ف</w:t>
      </w:r>
      <w:r w:rsidR="004F5E1B">
        <w:rPr>
          <w:rFonts w:hint="cs"/>
          <w:rtl/>
        </w:rPr>
        <w:t xml:space="preserve">يرجى وصف الاستراتيجيات والأهداف القائمة </w:t>
      </w:r>
      <w:r>
        <w:rPr>
          <w:rFonts w:hint="cs"/>
          <w:rtl/>
        </w:rPr>
        <w:t xml:space="preserve">الرامية إلى </w:t>
      </w:r>
      <w:r w:rsidR="004F5E1B">
        <w:rPr>
          <w:rFonts w:hint="cs"/>
          <w:rtl/>
        </w:rPr>
        <w:t xml:space="preserve">زيادة عدد الطالبات في مجالات الدراسة غير التقليدية، مثل الدارسات الصناعية والدراسات العلمية، بما في ذلك التأثير الناجم عن </w:t>
      </w:r>
      <w:r>
        <w:rPr>
          <w:rFonts w:hint="cs"/>
          <w:rtl/>
        </w:rPr>
        <w:t>تلك</w:t>
      </w:r>
      <w:r w:rsidR="004F5E1B">
        <w:rPr>
          <w:rFonts w:hint="cs"/>
          <w:rtl/>
        </w:rPr>
        <w:t xml:space="preserve"> الاستراتيجيات.</w:t>
      </w:r>
    </w:p>
    <w:p w:rsidR="004F5E1B" w:rsidRDefault="004F5E1B" w:rsidP="006C58EB">
      <w:pPr>
        <w:pStyle w:val="SingleTxt"/>
        <w:rPr>
          <w:rtl/>
        </w:rPr>
      </w:pPr>
      <w:r>
        <w:rPr>
          <w:rFonts w:hint="cs"/>
          <w:rtl/>
        </w:rPr>
        <w:lastRenderedPageBreak/>
        <w:t>23 -</w:t>
      </w:r>
      <w:r>
        <w:rPr>
          <w:rFonts w:hint="cs"/>
          <w:rtl/>
        </w:rPr>
        <w:tab/>
      </w:r>
      <w:r w:rsidR="006C58EB">
        <w:rPr>
          <w:rFonts w:hint="cs"/>
          <w:rtl/>
        </w:rPr>
        <w:t>و</w:t>
      </w:r>
      <w:r>
        <w:rPr>
          <w:rFonts w:hint="cs"/>
          <w:rtl/>
        </w:rPr>
        <w:t>يرجى تقديم معلومات أدق بشأن عدد النساء في الجامعات بالمقارنة مع عدد الرجال، وتصنيف هذ</w:t>
      </w:r>
      <w:r w:rsidR="006C58EB">
        <w:rPr>
          <w:rFonts w:hint="cs"/>
          <w:rtl/>
        </w:rPr>
        <w:t>ه الأعداد</w:t>
      </w:r>
      <w:r>
        <w:rPr>
          <w:rFonts w:hint="cs"/>
          <w:rtl/>
        </w:rPr>
        <w:t xml:space="preserve"> حسب مجال التخصص، بما في ذلك الطالبات وأعضاء هيئة التدريس.</w:t>
      </w:r>
    </w:p>
    <w:p w:rsidR="004F5E1B" w:rsidRPr="00C744E8" w:rsidRDefault="004F5E1B" w:rsidP="004F5E1B">
      <w:pPr>
        <w:pStyle w:val="SingleTxt"/>
        <w:spacing w:after="0" w:line="120" w:lineRule="exact"/>
        <w:rPr>
          <w:sz w:val="10"/>
          <w:rtl/>
        </w:rPr>
      </w:pPr>
    </w:p>
    <w:p w:rsidR="004F5E1B" w:rsidRDefault="006C58EB" w:rsidP="006C58EB">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الصح</w:t>
      </w:r>
      <w:r w:rsidR="004F5E1B">
        <w:rPr>
          <w:rFonts w:hint="cs"/>
          <w:rtl/>
        </w:rPr>
        <w:t>ة</w:t>
      </w:r>
    </w:p>
    <w:p w:rsidR="004F5E1B" w:rsidRDefault="004F5E1B" w:rsidP="006C58EB">
      <w:pPr>
        <w:pStyle w:val="SingleTxt"/>
        <w:rPr>
          <w:rtl/>
        </w:rPr>
      </w:pPr>
      <w:r>
        <w:rPr>
          <w:rFonts w:hint="cs"/>
          <w:rtl/>
        </w:rPr>
        <w:t>24 -</w:t>
      </w:r>
      <w:r>
        <w:rPr>
          <w:rFonts w:hint="cs"/>
          <w:rtl/>
        </w:rPr>
        <w:tab/>
        <w:t xml:space="preserve">يشير التقرير إلى أن النساء يمثلن 38 في المائة من جميع الحالات المبلغ عنها بشأن الإصابة بفيروس نقص المناعة البشرية/الإيدز عام 2004 (الفقرة 284). </w:t>
      </w:r>
      <w:r w:rsidR="006C58EB">
        <w:rPr>
          <w:rFonts w:hint="cs"/>
          <w:rtl/>
        </w:rPr>
        <w:t>ف</w:t>
      </w:r>
      <w:r>
        <w:rPr>
          <w:rFonts w:hint="cs"/>
          <w:rtl/>
        </w:rPr>
        <w:t>يرجى الإشارة إلى ما إذا كانت البرامج القائمة لمكافحة فيروس نقص المناعة البشرية/الإيدز ت</w:t>
      </w:r>
      <w:r w:rsidR="006C58EB">
        <w:rPr>
          <w:rFonts w:hint="cs"/>
          <w:rtl/>
        </w:rPr>
        <w:t>أخذ</w:t>
      </w:r>
      <w:r>
        <w:rPr>
          <w:rFonts w:hint="cs"/>
          <w:rtl/>
        </w:rPr>
        <w:t xml:space="preserve"> </w:t>
      </w:r>
      <w:r w:rsidR="006C58EB">
        <w:rPr>
          <w:rFonts w:hint="cs"/>
          <w:rtl/>
        </w:rPr>
        <w:t>ب</w:t>
      </w:r>
      <w:r>
        <w:rPr>
          <w:rFonts w:hint="cs"/>
          <w:rtl/>
        </w:rPr>
        <w:t>المنظور الجنساني</w:t>
      </w:r>
      <w:r w:rsidR="006C58EB">
        <w:rPr>
          <w:rFonts w:hint="cs"/>
          <w:rtl/>
        </w:rPr>
        <w:t>،</w:t>
      </w:r>
      <w:r>
        <w:rPr>
          <w:rFonts w:hint="cs"/>
          <w:rtl/>
        </w:rPr>
        <w:t xml:space="preserve"> وما إذا كانت هناك تدابير خاصة قائمة للوقاية </w:t>
      </w:r>
      <w:r w:rsidR="006C58EB">
        <w:rPr>
          <w:rFonts w:hint="cs"/>
          <w:rtl/>
        </w:rPr>
        <w:t>وموجهة لصالح</w:t>
      </w:r>
      <w:r>
        <w:rPr>
          <w:rFonts w:hint="cs"/>
          <w:rtl/>
        </w:rPr>
        <w:t xml:space="preserve"> النساء. </w:t>
      </w:r>
    </w:p>
    <w:p w:rsidR="004F5E1B" w:rsidRDefault="004F5E1B" w:rsidP="00986E8A">
      <w:pPr>
        <w:pStyle w:val="SingleTxt"/>
        <w:rPr>
          <w:rtl/>
        </w:rPr>
      </w:pPr>
      <w:r>
        <w:rPr>
          <w:rFonts w:hint="cs"/>
          <w:rtl/>
        </w:rPr>
        <w:t>25 -</w:t>
      </w:r>
      <w:r>
        <w:rPr>
          <w:rFonts w:hint="cs"/>
          <w:rtl/>
        </w:rPr>
        <w:tab/>
        <w:t>و</w:t>
      </w:r>
      <w:r w:rsidR="00986E8A" w:rsidRPr="00986E8A">
        <w:rPr>
          <w:rFonts w:hint="cs"/>
          <w:rtl/>
        </w:rPr>
        <w:t xml:space="preserve"> </w:t>
      </w:r>
      <w:r w:rsidR="00986E8A">
        <w:rPr>
          <w:rFonts w:hint="cs"/>
          <w:rtl/>
        </w:rPr>
        <w:t xml:space="preserve">أعربت اللجنة، </w:t>
      </w:r>
      <w:r>
        <w:rPr>
          <w:rFonts w:hint="cs"/>
          <w:rtl/>
        </w:rPr>
        <w:t>في تعليقات</w:t>
      </w:r>
      <w:r w:rsidR="00986E8A">
        <w:rPr>
          <w:rFonts w:hint="cs"/>
          <w:rtl/>
        </w:rPr>
        <w:t>ها</w:t>
      </w:r>
      <w:r>
        <w:rPr>
          <w:rFonts w:hint="cs"/>
          <w:rtl/>
        </w:rPr>
        <w:t xml:space="preserve"> الختامية السابقة، عن القلق </w:t>
      </w:r>
      <w:r w:rsidR="00986E8A">
        <w:rPr>
          <w:rFonts w:hint="cs"/>
          <w:rtl/>
        </w:rPr>
        <w:t xml:space="preserve">إزاء </w:t>
      </w:r>
      <w:r>
        <w:rPr>
          <w:rFonts w:hint="cs"/>
          <w:rtl/>
        </w:rPr>
        <w:t xml:space="preserve">عدم كفاية عدد مرافق الرعاية الصحية </w:t>
      </w:r>
      <w:r w:rsidR="00986E8A">
        <w:rPr>
          <w:rFonts w:hint="cs"/>
          <w:rtl/>
        </w:rPr>
        <w:t xml:space="preserve">وعدم إمكانية حصول المرأة الريفية على </w:t>
      </w:r>
      <w:r>
        <w:rPr>
          <w:rFonts w:hint="cs"/>
          <w:rtl/>
        </w:rPr>
        <w:t xml:space="preserve">الخدمات الصحية </w:t>
      </w:r>
      <w:r w:rsidR="00986E8A">
        <w:rPr>
          <w:rFonts w:hint="cs"/>
          <w:rtl/>
        </w:rPr>
        <w:t>(</w:t>
      </w:r>
      <w:r w:rsidR="00986E8A">
        <w:t>A/58/38</w:t>
      </w:r>
      <w:r w:rsidR="00986E8A">
        <w:rPr>
          <w:rFonts w:hint="cs"/>
          <w:rtl/>
        </w:rPr>
        <w:t>، الفقرة</w:t>
      </w:r>
      <w:r w:rsidR="00986E8A">
        <w:rPr>
          <w:rFonts w:hint="eastAsia"/>
          <w:rtl/>
        </w:rPr>
        <w:t> </w:t>
      </w:r>
      <w:r>
        <w:rPr>
          <w:rFonts w:hint="cs"/>
          <w:rtl/>
        </w:rPr>
        <w:t xml:space="preserve">172). ومع ذلك لا يقدم التقرير معلومات مناسبة </w:t>
      </w:r>
      <w:r w:rsidR="00986E8A">
        <w:rPr>
          <w:rFonts w:hint="cs"/>
          <w:rtl/>
        </w:rPr>
        <w:t>ع</w:t>
      </w:r>
      <w:r>
        <w:rPr>
          <w:rFonts w:hint="cs"/>
          <w:rtl/>
        </w:rPr>
        <w:t xml:space="preserve">ن </w:t>
      </w:r>
      <w:r w:rsidR="00986E8A">
        <w:rPr>
          <w:rFonts w:hint="cs"/>
          <w:rtl/>
        </w:rPr>
        <w:t xml:space="preserve">عدد </w:t>
      </w:r>
      <w:r>
        <w:rPr>
          <w:rFonts w:hint="cs"/>
          <w:rtl/>
        </w:rPr>
        <w:t xml:space="preserve">مرافق الرعاية الصحية، ولا سيما في الأرياف والمناطق المهمشة، أو </w:t>
      </w:r>
      <w:r w:rsidR="00986E8A">
        <w:rPr>
          <w:rFonts w:hint="cs"/>
          <w:rtl/>
        </w:rPr>
        <w:t>عن مدى إمكانية حصول</w:t>
      </w:r>
      <w:r>
        <w:rPr>
          <w:rFonts w:hint="cs"/>
          <w:rtl/>
        </w:rPr>
        <w:t xml:space="preserve"> النساء </w:t>
      </w:r>
      <w:r w:rsidR="00986E8A">
        <w:rPr>
          <w:rFonts w:hint="cs"/>
          <w:rtl/>
        </w:rPr>
        <w:t xml:space="preserve">على </w:t>
      </w:r>
      <w:r>
        <w:rPr>
          <w:rFonts w:hint="cs"/>
          <w:rtl/>
        </w:rPr>
        <w:t xml:space="preserve">خدمات الرعاية الصحية. </w:t>
      </w:r>
      <w:r w:rsidR="00986E8A">
        <w:rPr>
          <w:rFonts w:hint="cs"/>
          <w:rtl/>
        </w:rPr>
        <w:t>ف</w:t>
      </w:r>
      <w:r>
        <w:rPr>
          <w:rFonts w:hint="cs"/>
          <w:rtl/>
        </w:rPr>
        <w:t xml:space="preserve">يرجى تقديم </w:t>
      </w:r>
      <w:r w:rsidR="00986E8A">
        <w:rPr>
          <w:rFonts w:hint="cs"/>
          <w:rtl/>
        </w:rPr>
        <w:t>تلك</w:t>
      </w:r>
      <w:r>
        <w:rPr>
          <w:rFonts w:hint="cs"/>
          <w:rtl/>
        </w:rPr>
        <w:t xml:space="preserve"> المعلومات.</w:t>
      </w:r>
    </w:p>
    <w:p w:rsidR="004F5E1B" w:rsidRPr="0082262E" w:rsidRDefault="004F5E1B" w:rsidP="004F5E1B">
      <w:pPr>
        <w:pStyle w:val="SingleTxt"/>
        <w:spacing w:after="0" w:line="120" w:lineRule="exact"/>
        <w:rPr>
          <w:sz w:val="10"/>
          <w:rtl/>
        </w:rPr>
      </w:pPr>
    </w:p>
    <w:p w:rsidR="004F5E1B" w:rsidRDefault="004F5E1B" w:rsidP="00986E8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الزواج والعلاقات الأسرية</w:t>
      </w:r>
    </w:p>
    <w:p w:rsidR="004F5E1B" w:rsidRDefault="004F5E1B" w:rsidP="00986E8A">
      <w:pPr>
        <w:pStyle w:val="SingleTxt"/>
        <w:rPr>
          <w:rtl/>
        </w:rPr>
      </w:pPr>
      <w:r>
        <w:rPr>
          <w:rFonts w:hint="cs"/>
          <w:rtl/>
        </w:rPr>
        <w:t>26 -</w:t>
      </w:r>
      <w:r>
        <w:rPr>
          <w:rFonts w:hint="cs"/>
          <w:rtl/>
        </w:rPr>
        <w:tab/>
        <w:t>يشير التقرير إلى أن وزارة الأوقاف والشؤون الإسلامية قدمت توجيهات بشأن خطبة الجمعة في المساجد</w:t>
      </w:r>
      <w:r w:rsidR="00986E8A">
        <w:rPr>
          <w:rFonts w:hint="cs"/>
          <w:rtl/>
        </w:rPr>
        <w:t>،</w:t>
      </w:r>
      <w:r>
        <w:rPr>
          <w:rFonts w:hint="cs"/>
          <w:rtl/>
        </w:rPr>
        <w:t xml:space="preserve"> تشدد بدرجة أكبر على كرامة الفرد والاعتدال (الفقرة 93). </w:t>
      </w:r>
      <w:r w:rsidR="00986E8A">
        <w:rPr>
          <w:rFonts w:hint="cs"/>
          <w:rtl/>
        </w:rPr>
        <w:t>ف</w:t>
      </w:r>
      <w:r>
        <w:rPr>
          <w:rFonts w:hint="cs"/>
          <w:rtl/>
        </w:rPr>
        <w:t xml:space="preserve">يرجى الإشارة إلى ما إذا كانت هذه المبادئ التوجيهية وغيرها من مبادرات وزارة الأوقاف والشؤون الإسلامية تركز على المساواة بين الجنسين وعدم التمييز، </w:t>
      </w:r>
      <w:r w:rsidR="00986E8A">
        <w:rPr>
          <w:rFonts w:hint="cs"/>
          <w:rtl/>
        </w:rPr>
        <w:t>لا سيما، ما إذا كانت الوزارة تؤيد</w:t>
      </w:r>
      <w:r>
        <w:rPr>
          <w:rFonts w:hint="cs"/>
          <w:rtl/>
        </w:rPr>
        <w:t xml:space="preserve"> قانون الأسرة الجديد وتستخدم خطب </w:t>
      </w:r>
      <w:r w:rsidR="00986E8A">
        <w:rPr>
          <w:rFonts w:hint="cs"/>
          <w:rtl/>
        </w:rPr>
        <w:t xml:space="preserve">صلاة </w:t>
      </w:r>
      <w:r>
        <w:rPr>
          <w:rFonts w:hint="cs"/>
          <w:rtl/>
        </w:rPr>
        <w:t>الجمعة لإ</w:t>
      </w:r>
      <w:r w:rsidR="00986E8A">
        <w:rPr>
          <w:rFonts w:hint="cs"/>
          <w:rtl/>
        </w:rPr>
        <w:t>طلاع</w:t>
      </w:r>
      <w:r>
        <w:rPr>
          <w:rFonts w:hint="cs"/>
          <w:rtl/>
        </w:rPr>
        <w:t xml:space="preserve"> النساء </w:t>
      </w:r>
      <w:r w:rsidR="00986E8A">
        <w:rPr>
          <w:rFonts w:hint="cs"/>
          <w:rtl/>
        </w:rPr>
        <w:t>على</w:t>
      </w:r>
      <w:r>
        <w:rPr>
          <w:rFonts w:hint="cs"/>
          <w:rtl/>
        </w:rPr>
        <w:t xml:space="preserve"> حقوقهن بموجب القانون.</w:t>
      </w:r>
    </w:p>
    <w:p w:rsidR="004F5E1B" w:rsidRDefault="004F5E1B" w:rsidP="004C449E">
      <w:pPr>
        <w:pStyle w:val="SingleTxt"/>
        <w:rPr>
          <w:rtl/>
        </w:rPr>
      </w:pPr>
      <w:r>
        <w:rPr>
          <w:rFonts w:hint="cs"/>
          <w:rtl/>
        </w:rPr>
        <w:t>27 -</w:t>
      </w:r>
      <w:r>
        <w:rPr>
          <w:rFonts w:hint="cs"/>
          <w:rtl/>
        </w:rPr>
        <w:tab/>
        <w:t xml:space="preserve">وأعربت </w:t>
      </w:r>
      <w:r w:rsidR="00986E8A">
        <w:rPr>
          <w:rFonts w:hint="cs"/>
          <w:rtl/>
        </w:rPr>
        <w:t>ال</w:t>
      </w:r>
      <w:r>
        <w:rPr>
          <w:rFonts w:hint="cs"/>
          <w:rtl/>
        </w:rPr>
        <w:t xml:space="preserve">لجنة </w:t>
      </w:r>
      <w:r w:rsidR="00986E8A">
        <w:rPr>
          <w:rFonts w:hint="cs"/>
          <w:rtl/>
        </w:rPr>
        <w:t>المعنية ب</w:t>
      </w:r>
      <w:r>
        <w:rPr>
          <w:rFonts w:hint="cs"/>
          <w:rtl/>
        </w:rPr>
        <w:t xml:space="preserve">حقوق الإنسان عن قلقها </w:t>
      </w:r>
      <w:r w:rsidR="00986E8A">
        <w:rPr>
          <w:rFonts w:hint="cs"/>
          <w:rtl/>
        </w:rPr>
        <w:t>إزاء</w:t>
      </w:r>
      <w:r>
        <w:rPr>
          <w:rFonts w:hint="cs"/>
          <w:rtl/>
        </w:rPr>
        <w:t xml:space="preserve"> الحظر القانوني لزواج المسلمات </w:t>
      </w:r>
      <w:r w:rsidR="00986E8A">
        <w:rPr>
          <w:rFonts w:hint="cs"/>
          <w:rtl/>
        </w:rPr>
        <w:t>ب</w:t>
      </w:r>
      <w:r>
        <w:rPr>
          <w:rFonts w:hint="cs"/>
          <w:rtl/>
        </w:rPr>
        <w:t>غير المسلمين و</w:t>
      </w:r>
      <w:r w:rsidR="00D105C6">
        <w:rPr>
          <w:rFonts w:hint="cs"/>
          <w:rtl/>
        </w:rPr>
        <w:t>عدم ن</w:t>
      </w:r>
      <w:r w:rsidR="00986E8A">
        <w:rPr>
          <w:rFonts w:hint="cs"/>
          <w:rtl/>
        </w:rPr>
        <w:t>ص المدونة الجديدة للأسرة على عدم</w:t>
      </w:r>
      <w:r>
        <w:rPr>
          <w:rFonts w:hint="cs"/>
          <w:rtl/>
        </w:rPr>
        <w:t xml:space="preserve"> تعدد الزوجات وأوصت بتنقيح التشريع </w:t>
      </w:r>
      <w:r w:rsidR="004C449E">
        <w:rPr>
          <w:rFonts w:hint="cs"/>
          <w:rtl/>
        </w:rPr>
        <w:t>الساري</w:t>
      </w:r>
      <w:r>
        <w:rPr>
          <w:rFonts w:hint="cs"/>
          <w:rtl/>
        </w:rPr>
        <w:t xml:space="preserve"> (</w:t>
      </w:r>
      <w:r>
        <w:t>CCPR/CO/82/MAR</w:t>
      </w:r>
      <w:r w:rsidR="004C449E">
        <w:rPr>
          <w:rFonts w:hint="cs"/>
          <w:rtl/>
        </w:rPr>
        <w:t>، الفقرة 27</w:t>
      </w:r>
      <w:r>
        <w:rPr>
          <w:rFonts w:hint="cs"/>
          <w:rtl/>
        </w:rPr>
        <w:t xml:space="preserve">). </w:t>
      </w:r>
      <w:r w:rsidR="004C449E">
        <w:rPr>
          <w:rFonts w:hint="cs"/>
          <w:rtl/>
        </w:rPr>
        <w:t>ف</w:t>
      </w:r>
      <w:r>
        <w:rPr>
          <w:rFonts w:hint="cs"/>
          <w:rtl/>
        </w:rPr>
        <w:t>يرجى الإشارة إلى الخطوات الجاري اتخاذها في هذا المضمار والإطار الزمني بشأن أي تعديلات متوخاة فيما يتعل</w:t>
      </w:r>
      <w:r w:rsidR="00D105C6">
        <w:rPr>
          <w:rFonts w:hint="cs"/>
          <w:rtl/>
        </w:rPr>
        <w:t>ق بالتشريع ذي</w:t>
      </w:r>
      <w:r w:rsidR="00D105C6">
        <w:rPr>
          <w:rFonts w:hint="eastAsia"/>
          <w:rtl/>
        </w:rPr>
        <w:t> </w:t>
      </w:r>
      <w:r w:rsidR="004C449E">
        <w:rPr>
          <w:rFonts w:hint="cs"/>
          <w:rtl/>
        </w:rPr>
        <w:t>الصلة.</w:t>
      </w:r>
    </w:p>
    <w:p w:rsidR="004F5E1B" w:rsidRPr="0050114E" w:rsidRDefault="004F5E1B" w:rsidP="004F5E1B">
      <w:pPr>
        <w:pStyle w:val="SingleTxt"/>
        <w:spacing w:after="0" w:line="120" w:lineRule="exact"/>
        <w:rPr>
          <w:sz w:val="10"/>
          <w:rtl/>
        </w:rPr>
      </w:pPr>
    </w:p>
    <w:p w:rsidR="004F5E1B" w:rsidRDefault="004F5E1B" w:rsidP="004C44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r>
      <w:r w:rsidR="004C449E">
        <w:rPr>
          <w:rFonts w:hint="cs"/>
          <w:rtl/>
        </w:rPr>
        <w:t xml:space="preserve">المرأة </w:t>
      </w:r>
      <w:r>
        <w:rPr>
          <w:rFonts w:hint="cs"/>
          <w:rtl/>
        </w:rPr>
        <w:t>الريفي</w:t>
      </w:r>
      <w:r w:rsidR="004C449E">
        <w:rPr>
          <w:rFonts w:hint="cs"/>
          <w:rtl/>
        </w:rPr>
        <w:t>ة</w:t>
      </w:r>
    </w:p>
    <w:p w:rsidR="004F5E1B" w:rsidRDefault="004F5E1B" w:rsidP="004C449E">
      <w:pPr>
        <w:pStyle w:val="SingleTxt"/>
        <w:rPr>
          <w:rtl/>
        </w:rPr>
      </w:pPr>
      <w:r>
        <w:rPr>
          <w:rFonts w:hint="cs"/>
          <w:rtl/>
        </w:rPr>
        <w:t>28 -</w:t>
      </w:r>
      <w:r>
        <w:rPr>
          <w:rFonts w:hint="cs"/>
          <w:rtl/>
        </w:rPr>
        <w:tab/>
        <w:t xml:space="preserve">يشير التقرير إلى أن هناك خطة عمل </w:t>
      </w:r>
      <w:r w:rsidR="004C449E">
        <w:rPr>
          <w:rFonts w:hint="cs"/>
          <w:rtl/>
        </w:rPr>
        <w:t xml:space="preserve">كانت </w:t>
      </w:r>
      <w:r>
        <w:rPr>
          <w:rFonts w:hint="cs"/>
          <w:rtl/>
        </w:rPr>
        <w:t>قيد الإعداد</w:t>
      </w:r>
      <w:r w:rsidR="004C449E">
        <w:rPr>
          <w:rFonts w:hint="cs"/>
          <w:rtl/>
        </w:rPr>
        <w:t xml:space="preserve">، وقت تقديم التقرير، </w:t>
      </w:r>
      <w:r>
        <w:rPr>
          <w:rFonts w:hint="cs"/>
          <w:rtl/>
        </w:rPr>
        <w:t>لإدراج النهج الجنساني في سياسات وبرامج ومشاريع التنمية الزراعية والريفية</w:t>
      </w:r>
      <w:r w:rsidR="004C449E">
        <w:rPr>
          <w:rFonts w:hint="cs"/>
          <w:rtl/>
        </w:rPr>
        <w:t xml:space="preserve"> (الفقرة</w:t>
      </w:r>
      <w:r w:rsidR="004C449E">
        <w:rPr>
          <w:rFonts w:hint="eastAsia"/>
          <w:rtl/>
        </w:rPr>
        <w:t> </w:t>
      </w:r>
      <w:r>
        <w:rPr>
          <w:rFonts w:hint="cs"/>
          <w:rtl/>
        </w:rPr>
        <w:t xml:space="preserve">310). </w:t>
      </w:r>
      <w:r w:rsidR="004C449E">
        <w:rPr>
          <w:rFonts w:hint="cs"/>
          <w:rtl/>
        </w:rPr>
        <w:t>ف</w:t>
      </w:r>
      <w:r>
        <w:rPr>
          <w:rFonts w:hint="cs"/>
          <w:rtl/>
        </w:rPr>
        <w:t xml:space="preserve">يرجى </w:t>
      </w:r>
      <w:r>
        <w:rPr>
          <w:rFonts w:hint="cs"/>
          <w:rtl/>
        </w:rPr>
        <w:lastRenderedPageBreak/>
        <w:t xml:space="preserve">الإشارة إلى الوضع الذي وصلت إليه خطة العمل </w:t>
      </w:r>
      <w:r w:rsidR="004C449E">
        <w:rPr>
          <w:rFonts w:hint="cs"/>
          <w:rtl/>
        </w:rPr>
        <w:t>المذكورة</w:t>
      </w:r>
      <w:r>
        <w:rPr>
          <w:rFonts w:hint="cs"/>
          <w:rtl/>
        </w:rPr>
        <w:t xml:space="preserve"> وأهدافها المحددة زمنيا لصالح</w:t>
      </w:r>
      <w:r w:rsidR="004C449E">
        <w:rPr>
          <w:rFonts w:hint="cs"/>
          <w:rtl/>
        </w:rPr>
        <w:t xml:space="preserve"> المرأة الريفية.</w:t>
      </w:r>
    </w:p>
    <w:p w:rsidR="004F5E1B" w:rsidRPr="00677C90" w:rsidRDefault="004F5E1B" w:rsidP="004F5E1B">
      <w:pPr>
        <w:pStyle w:val="SingleTxt"/>
        <w:spacing w:after="0" w:line="120" w:lineRule="exact"/>
        <w:rPr>
          <w:sz w:val="10"/>
          <w:rtl/>
        </w:rPr>
      </w:pPr>
    </w:p>
    <w:p w:rsidR="004F5E1B" w:rsidRDefault="004F5E1B" w:rsidP="004F5E1B">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الفقرة 1 من المادة 20</w:t>
      </w:r>
    </w:p>
    <w:p w:rsidR="00D8706B" w:rsidRDefault="004F5E1B" w:rsidP="004F5E1B">
      <w:pPr>
        <w:pStyle w:val="SingleTxt"/>
        <w:rPr>
          <w:rtl/>
        </w:rPr>
      </w:pPr>
      <w:r>
        <w:rPr>
          <w:rFonts w:hint="cs"/>
          <w:rtl/>
        </w:rPr>
        <w:t>29 -</w:t>
      </w:r>
      <w:r>
        <w:rPr>
          <w:rFonts w:hint="cs"/>
          <w:rtl/>
        </w:rPr>
        <w:tab/>
        <w:t>يرجى الإشارة إلى الموعد الذي تعتزم فيه الدولة الطرف قبول التعديل المدخل على الفقرة 1 من المادة 20 من الاتفاق</w:t>
      </w:r>
      <w:r w:rsidR="004C449E">
        <w:rPr>
          <w:rFonts w:hint="cs"/>
          <w:rtl/>
        </w:rPr>
        <w:t>ية</w:t>
      </w:r>
      <w:r>
        <w:rPr>
          <w:rFonts w:hint="cs"/>
          <w:rtl/>
        </w:rPr>
        <w:t xml:space="preserve"> المتصل بوقت اجتماع اللجنة.</w:t>
      </w:r>
    </w:p>
    <w:p w:rsidR="004C449E" w:rsidRDefault="004C449E" w:rsidP="004F5E1B">
      <w:pPr>
        <w:pStyle w:val="SingleTxt"/>
        <w:spacing w:after="0" w:line="240" w:lineRule="auto"/>
        <w:rPr>
          <w:rtl/>
        </w:rPr>
      </w:pPr>
    </w:p>
    <w:p w:rsidR="004F5E1B" w:rsidRPr="004F5E1B" w:rsidRDefault="00B95CB1" w:rsidP="004F5E1B">
      <w:pPr>
        <w:pStyle w:val="SingleTxt"/>
        <w:spacing w:after="0" w:line="240" w:lineRule="auto"/>
        <w:rPr>
          <w:rtl/>
        </w:rPr>
      </w:pPr>
      <w:bookmarkStart w:id="1" w:name="TmpSave"/>
      <w:bookmarkEnd w:id="1"/>
      <w:r>
        <w:rPr>
          <w:noProof/>
          <w:w w:val="100"/>
          <w:rtl/>
        </w:rPr>
        <w:pict>
          <v:line id="_x0000_s1026" style="position:absolute;left:0;text-align:left;z-index:1" from="206.6pt,24pt" to="278.6pt,24pt" strokeweight=".25pt">
            <w10:wrap anchorx="page"/>
          </v:line>
        </w:pict>
      </w:r>
    </w:p>
    <w:sectPr w:rsidR="004F5E1B" w:rsidRPr="004F5E1B" w:rsidSect="00CA627A">
      <w:endnotePr>
        <w:numFmt w:val="lowerLetter"/>
      </w:endnotePr>
      <w:type w:val="continuous"/>
      <w:pgSz w:w="12240" w:h="15840" w:code="1"/>
      <w:pgMar w:top="1742" w:right="1195" w:bottom="1898" w:left="1195" w:header="576" w:footer="1030" w:gutter="0"/>
      <w:cols w:space="720"/>
      <w:noEndnote/>
      <w:bidi/>
      <w:rtlGutter/>
      <w:docGrid w:linePitch="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CB1" w:rsidRDefault="00B95CB1">
      <w:r>
        <w:separator/>
      </w:r>
    </w:p>
  </w:endnote>
  <w:endnote w:type="continuationSeparator" w:id="0">
    <w:p w:rsidR="00B95CB1" w:rsidRDefault="00B9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code 3 of 9 by reques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33"/>
      <w:gridCol w:w="5033"/>
    </w:tblGrid>
    <w:tr w:rsidR="00740169">
      <w:tc>
        <w:tcPr>
          <w:tcW w:w="5033" w:type="dxa"/>
          <w:shd w:val="clear" w:color="auto" w:fill="auto"/>
        </w:tcPr>
        <w:p w:rsidR="00740169" w:rsidRPr="00CA627A" w:rsidRDefault="00740169" w:rsidP="00CA627A">
          <w:pPr>
            <w:pStyle w:val="Pidipagina"/>
            <w:jc w:val="right"/>
            <w:rPr>
              <w:w w:val="103"/>
            </w:rPr>
          </w:pPr>
          <w:r>
            <w:rPr>
              <w:w w:val="103"/>
            </w:rPr>
            <w:fldChar w:fldCharType="begin"/>
          </w:r>
          <w:r>
            <w:rPr>
              <w:w w:val="103"/>
            </w:rPr>
            <w:instrText xml:space="preserve"> PAGE  \* MERGEFORMAT </w:instrText>
          </w:r>
          <w:r>
            <w:rPr>
              <w:w w:val="103"/>
            </w:rPr>
            <w:fldChar w:fldCharType="separate"/>
          </w:r>
          <w:r w:rsidR="00E45116">
            <w:rPr>
              <w:w w:val="103"/>
            </w:rPr>
            <w:t>6</w:t>
          </w:r>
          <w:r>
            <w:rPr>
              <w:w w:val="103"/>
            </w:rPr>
            <w:fldChar w:fldCharType="end"/>
          </w:r>
        </w:p>
      </w:tc>
      <w:tc>
        <w:tcPr>
          <w:tcW w:w="5033" w:type="dxa"/>
          <w:shd w:val="clear" w:color="auto" w:fill="auto"/>
        </w:tcPr>
        <w:p w:rsidR="00740169" w:rsidRPr="00CA627A" w:rsidRDefault="00740169" w:rsidP="00CA627A">
          <w:pPr>
            <w:pStyle w:val="Pidipagina"/>
            <w:rPr>
              <w:b w:val="0"/>
              <w:w w:val="103"/>
            </w:rPr>
          </w:pPr>
          <w:r>
            <w:rPr>
              <w:b w:val="0"/>
              <w:w w:val="103"/>
            </w:rPr>
            <w:fldChar w:fldCharType="begin"/>
          </w:r>
          <w:r>
            <w:rPr>
              <w:b w:val="0"/>
              <w:w w:val="103"/>
            </w:rPr>
            <w:instrText xml:space="preserve"> DOCVARIABLE "FooterJN" \* MERGEFORMAT </w:instrText>
          </w:r>
          <w:r>
            <w:rPr>
              <w:b w:val="0"/>
              <w:w w:val="103"/>
            </w:rPr>
            <w:fldChar w:fldCharType="separate"/>
          </w:r>
          <w:r>
            <w:rPr>
              <w:b w:val="0"/>
              <w:w w:val="103"/>
            </w:rPr>
            <w:t>07-46363</w:t>
          </w:r>
          <w:r>
            <w:rPr>
              <w:b w:val="0"/>
              <w:w w:val="103"/>
            </w:rPr>
            <w:fldChar w:fldCharType="end"/>
          </w:r>
        </w:p>
      </w:tc>
    </w:tr>
  </w:tbl>
  <w:p w:rsidR="00740169" w:rsidRPr="00CA627A" w:rsidRDefault="00740169" w:rsidP="00CA627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33"/>
      <w:gridCol w:w="5033"/>
    </w:tblGrid>
    <w:tr w:rsidR="00740169">
      <w:tc>
        <w:tcPr>
          <w:tcW w:w="5033" w:type="dxa"/>
          <w:shd w:val="clear" w:color="auto" w:fill="auto"/>
        </w:tcPr>
        <w:p w:rsidR="00740169" w:rsidRPr="00CA627A" w:rsidRDefault="00740169" w:rsidP="00CA627A">
          <w:pPr>
            <w:pStyle w:val="Pidipagina"/>
            <w:jc w:val="righ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Pr>
              <w:b w:val="0"/>
              <w:w w:val="103"/>
            </w:rPr>
            <w:t>07-46363</w:t>
          </w:r>
          <w:r>
            <w:rPr>
              <w:b w:val="0"/>
              <w:w w:val="103"/>
            </w:rPr>
            <w:fldChar w:fldCharType="end"/>
          </w:r>
        </w:p>
      </w:tc>
      <w:tc>
        <w:tcPr>
          <w:tcW w:w="5033" w:type="dxa"/>
          <w:shd w:val="clear" w:color="auto" w:fill="auto"/>
        </w:tcPr>
        <w:p w:rsidR="00740169" w:rsidRPr="00CA627A" w:rsidRDefault="00740169" w:rsidP="00CA627A">
          <w:pPr>
            <w:pStyle w:val="Pidipagina"/>
            <w:rPr>
              <w:w w:val="103"/>
            </w:rPr>
          </w:pPr>
          <w:r>
            <w:rPr>
              <w:w w:val="103"/>
            </w:rPr>
            <w:fldChar w:fldCharType="begin"/>
          </w:r>
          <w:r>
            <w:rPr>
              <w:w w:val="103"/>
            </w:rPr>
            <w:instrText xml:space="preserve"> PAGE  \* MERGEFORMAT </w:instrText>
          </w:r>
          <w:r>
            <w:rPr>
              <w:w w:val="103"/>
            </w:rPr>
            <w:fldChar w:fldCharType="separate"/>
          </w:r>
          <w:r w:rsidR="00E45116">
            <w:rPr>
              <w:w w:val="103"/>
            </w:rPr>
            <w:t>7</w:t>
          </w:r>
          <w:r>
            <w:rPr>
              <w:w w:val="103"/>
            </w:rPr>
            <w:fldChar w:fldCharType="end"/>
          </w:r>
        </w:p>
      </w:tc>
    </w:tr>
  </w:tbl>
  <w:p w:rsidR="00740169" w:rsidRPr="00CA627A" w:rsidRDefault="00740169" w:rsidP="00CA627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69" w:rsidRDefault="00740169">
    <w:pPr>
      <w:pStyle w:val="Pidipagina"/>
    </w:pPr>
  </w:p>
  <w:p w:rsidR="00740169" w:rsidRDefault="00740169" w:rsidP="00CA627A">
    <w:pPr>
      <w:pStyle w:val="Pidipagina"/>
      <w:jc w:val="right"/>
      <w:rPr>
        <w:rFonts w:cs="Times New Roman"/>
        <w:b w:val="0"/>
        <w:w w:val="103"/>
        <w:sz w:val="20"/>
      </w:rPr>
    </w:pPr>
    <w:r>
      <w:rPr>
        <w:rFonts w:cs="Times New Roman"/>
        <w:b w:val="0"/>
        <w:w w:val="103"/>
        <w:sz w:val="20"/>
      </w:rPr>
      <w:t xml:space="preserve">050907    050907    </w:t>
    </w:r>
    <w:r>
      <w:rPr>
        <w:rFonts w:cs="Times New Roman"/>
        <w:b w:val="0"/>
        <w:w w:val="103"/>
        <w:sz w:val="20"/>
      </w:rPr>
      <w:fldChar w:fldCharType="begin"/>
    </w:r>
    <w:r>
      <w:rPr>
        <w:rFonts w:cs="Times New Roman"/>
        <w:b w:val="0"/>
        <w:w w:val="103"/>
        <w:sz w:val="20"/>
      </w:rPr>
      <w:instrText xml:space="preserve"> DOCVARIABLE "jobn" \* MERGEFORMAT </w:instrText>
    </w:r>
    <w:r>
      <w:rPr>
        <w:rFonts w:cs="Times New Roman"/>
        <w:b w:val="0"/>
        <w:w w:val="103"/>
        <w:sz w:val="20"/>
      </w:rPr>
      <w:fldChar w:fldCharType="separate"/>
    </w:r>
    <w:r>
      <w:rPr>
        <w:rFonts w:cs="Times New Roman"/>
        <w:b w:val="0"/>
        <w:w w:val="103"/>
        <w:sz w:val="20"/>
      </w:rPr>
      <w:t>07-46363 (A)</w:t>
    </w:r>
    <w:r>
      <w:rPr>
        <w:rFonts w:cs="Times New Roman"/>
        <w:b w:val="0"/>
        <w:w w:val="103"/>
        <w:sz w:val="20"/>
      </w:rPr>
      <w:fldChar w:fldCharType="end"/>
    </w:r>
  </w:p>
  <w:p w:rsidR="00740169" w:rsidRPr="00CA627A" w:rsidRDefault="00740169" w:rsidP="00CA627A">
    <w:pPr>
      <w:pStyle w:val="Pidipagina"/>
      <w:spacing w:before="80"/>
      <w:jc w:val="right"/>
      <w:rPr>
        <w:rFonts w:ascii="Barcode 3 of 9 by request" w:hAnsi="Barcode 3 of 9 by request" w:cs="Times New Roman"/>
        <w:b w:val="0"/>
        <w:sz w:val="24"/>
      </w:rPr>
    </w:pPr>
    <w:r>
      <w:rPr>
        <w:rFonts w:ascii="Barcode 3 of 9 by request" w:hAnsi="Barcode 3 of 9 by request" w:cs="Times New Roman"/>
        <w:b w:val="0"/>
        <w:sz w:val="24"/>
      </w:rPr>
      <w:fldChar w:fldCharType="begin"/>
    </w:r>
    <w:r>
      <w:rPr>
        <w:rFonts w:ascii="Barcode 3 of 9 by request" w:hAnsi="Barcode 3 of 9 by request" w:cs="Times New Roman"/>
        <w:b w:val="0"/>
        <w:sz w:val="24"/>
      </w:rPr>
      <w:instrText xml:space="preserve"> DOCVARIABLE "Barcode" \* MERGEFORMAT </w:instrText>
    </w:r>
    <w:r>
      <w:rPr>
        <w:rFonts w:ascii="Barcode 3 of 9 by request" w:hAnsi="Barcode 3 of 9 by request" w:cs="Times New Roman"/>
        <w:b w:val="0"/>
        <w:sz w:val="24"/>
      </w:rPr>
      <w:fldChar w:fldCharType="separate"/>
    </w:r>
    <w:r>
      <w:rPr>
        <w:rFonts w:ascii="Barcode 3 of 9 by request" w:hAnsi="Barcode 3 of 9 by request" w:cs="Times New Roman"/>
        <w:b w:val="0"/>
        <w:sz w:val="24"/>
      </w:rPr>
      <w:t>*0746363*</w:t>
    </w:r>
    <w:r>
      <w:rPr>
        <w:rFonts w:ascii="Barcode 3 of 9 by request" w:hAnsi="Barcode 3 of 9 by request" w:cs="Times New Roman"/>
        <w:b w:val="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CB1" w:rsidRDefault="00B95CB1">
      <w:r>
        <w:separator/>
      </w:r>
    </w:p>
  </w:footnote>
  <w:footnote w:type="continuationSeparator" w:id="0">
    <w:p w:rsidR="00B95CB1" w:rsidRDefault="00B95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904"/>
      <w:gridCol w:w="4946"/>
    </w:tblGrid>
    <w:tr w:rsidR="00740169">
      <w:trPr>
        <w:trHeight w:hRule="exact" w:val="864"/>
        <w:jc w:val="center"/>
      </w:trPr>
      <w:tc>
        <w:tcPr>
          <w:tcW w:w="5033" w:type="dxa"/>
          <w:shd w:val="clear" w:color="auto" w:fill="auto"/>
          <w:vAlign w:val="bottom"/>
        </w:tcPr>
        <w:p w:rsidR="00740169" w:rsidRDefault="00740169" w:rsidP="00CA627A">
          <w:pPr>
            <w:pStyle w:val="Intestazione"/>
            <w:bidi/>
            <w:jc w:val="right"/>
          </w:pPr>
        </w:p>
      </w:tc>
      <w:tc>
        <w:tcPr>
          <w:tcW w:w="5033" w:type="dxa"/>
          <w:shd w:val="clear" w:color="auto" w:fill="auto"/>
          <w:vAlign w:val="bottom"/>
        </w:tcPr>
        <w:p w:rsidR="00740169" w:rsidRPr="00CA627A" w:rsidRDefault="00740169" w:rsidP="00CA627A">
          <w:pPr>
            <w:pStyle w:val="Intestazione"/>
            <w:spacing w:after="80"/>
            <w:jc w:val="right"/>
            <w:rPr>
              <w:w w:val="103"/>
            </w:rPr>
          </w:pPr>
          <w:r>
            <w:rPr>
              <w:w w:val="103"/>
            </w:rPr>
            <w:fldChar w:fldCharType="begin"/>
          </w:r>
          <w:r>
            <w:rPr>
              <w:w w:val="103"/>
            </w:rPr>
            <w:instrText xml:space="preserve"> DOCVARIABLE "sss1" \* MERGEFORMAT </w:instrText>
          </w:r>
          <w:r>
            <w:rPr>
              <w:w w:val="103"/>
            </w:rPr>
            <w:fldChar w:fldCharType="separate"/>
          </w:r>
          <w:r>
            <w:rPr>
              <w:w w:val="103"/>
            </w:rPr>
            <w:t>CEDAW/C/MAR/Q/4</w:t>
          </w:r>
          <w:r>
            <w:rPr>
              <w:w w:val="103"/>
            </w:rPr>
            <w:fldChar w:fldCharType="end"/>
          </w:r>
        </w:p>
      </w:tc>
    </w:tr>
  </w:tbl>
  <w:p w:rsidR="00740169" w:rsidRPr="00CA627A" w:rsidRDefault="00740169" w:rsidP="00CA627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946"/>
      <w:gridCol w:w="4904"/>
    </w:tblGrid>
    <w:tr w:rsidR="00740169">
      <w:trPr>
        <w:trHeight w:hRule="exact" w:val="864"/>
        <w:jc w:val="center"/>
      </w:trPr>
      <w:tc>
        <w:tcPr>
          <w:tcW w:w="5033" w:type="dxa"/>
          <w:shd w:val="clear" w:color="auto" w:fill="auto"/>
          <w:vAlign w:val="bottom"/>
        </w:tcPr>
        <w:p w:rsidR="00740169" w:rsidRPr="00CA627A" w:rsidRDefault="00740169" w:rsidP="00CA627A">
          <w:pPr>
            <w:pStyle w:val="Intestazione"/>
            <w:spacing w:after="80"/>
            <w:rPr>
              <w:w w:val="103"/>
            </w:rPr>
          </w:pPr>
          <w:r>
            <w:rPr>
              <w:w w:val="103"/>
              <w:rtl/>
            </w:rPr>
            <w:fldChar w:fldCharType="begin"/>
          </w:r>
          <w:r>
            <w:rPr>
              <w:w w:val="103"/>
              <w:rtl/>
            </w:rPr>
            <w:instrText xml:space="preserve"> </w:instrText>
          </w:r>
          <w:r>
            <w:rPr>
              <w:w w:val="103"/>
            </w:rPr>
            <w:instrText>DOCVARIABLE "sss1" \* MERGEFORMAT</w:instrText>
          </w:r>
          <w:r>
            <w:rPr>
              <w:w w:val="103"/>
              <w:rtl/>
            </w:rPr>
            <w:instrText xml:space="preserve"> </w:instrText>
          </w:r>
          <w:r>
            <w:rPr>
              <w:w w:val="103"/>
              <w:rtl/>
            </w:rPr>
            <w:fldChar w:fldCharType="separate"/>
          </w:r>
          <w:r>
            <w:rPr>
              <w:w w:val="103"/>
            </w:rPr>
            <w:t>CEDAW/C/MAR/Q/4</w:t>
          </w:r>
          <w:r>
            <w:rPr>
              <w:w w:val="103"/>
              <w:rtl/>
            </w:rPr>
            <w:fldChar w:fldCharType="end"/>
          </w:r>
        </w:p>
      </w:tc>
      <w:tc>
        <w:tcPr>
          <w:tcW w:w="5033" w:type="dxa"/>
          <w:shd w:val="clear" w:color="auto" w:fill="auto"/>
          <w:vAlign w:val="bottom"/>
        </w:tcPr>
        <w:p w:rsidR="00740169" w:rsidRDefault="00740169" w:rsidP="00CA627A">
          <w:pPr>
            <w:pStyle w:val="Intestazione"/>
          </w:pPr>
        </w:p>
      </w:tc>
    </w:tr>
  </w:tbl>
  <w:p w:rsidR="00740169" w:rsidRPr="00CA627A" w:rsidRDefault="00740169" w:rsidP="00CA627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85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082"/>
      <w:gridCol w:w="18"/>
    </w:tblGrid>
    <w:tr w:rsidR="00740169">
      <w:trPr>
        <w:gridAfter w:val="1"/>
        <w:wAfter w:w="18" w:type="dxa"/>
        <w:trHeight w:hRule="exact" w:val="864"/>
      </w:trPr>
      <w:tc>
        <w:tcPr>
          <w:tcW w:w="1282" w:type="dxa"/>
          <w:tcBorders>
            <w:bottom w:val="single" w:sz="4" w:space="0" w:color="auto"/>
          </w:tcBorders>
          <w:shd w:val="clear" w:color="auto" w:fill="auto"/>
          <w:vAlign w:val="bottom"/>
        </w:tcPr>
        <w:p w:rsidR="00740169" w:rsidRDefault="00740169" w:rsidP="00CA627A">
          <w:pPr>
            <w:pStyle w:val="Intestazione"/>
            <w:spacing w:after="120"/>
          </w:pPr>
        </w:p>
      </w:tc>
      <w:tc>
        <w:tcPr>
          <w:tcW w:w="1786" w:type="dxa"/>
          <w:tcBorders>
            <w:bottom w:val="single" w:sz="4" w:space="0" w:color="auto"/>
          </w:tcBorders>
          <w:shd w:val="clear" w:color="auto" w:fill="auto"/>
          <w:vAlign w:val="bottom"/>
        </w:tcPr>
        <w:p w:rsidR="00740169" w:rsidRPr="00CA627A" w:rsidRDefault="00740169" w:rsidP="00CA627A">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740169" w:rsidRDefault="00740169" w:rsidP="00CA627A">
          <w:pPr>
            <w:pStyle w:val="Intestazione"/>
            <w:spacing w:after="120"/>
          </w:pPr>
        </w:p>
      </w:tc>
      <w:tc>
        <w:tcPr>
          <w:tcW w:w="6523" w:type="dxa"/>
          <w:gridSpan w:val="3"/>
          <w:tcBorders>
            <w:bottom w:val="single" w:sz="4" w:space="0" w:color="auto"/>
          </w:tcBorders>
          <w:shd w:val="clear" w:color="auto" w:fill="auto"/>
          <w:vAlign w:val="bottom"/>
        </w:tcPr>
        <w:p w:rsidR="00740169" w:rsidRPr="00CA627A" w:rsidRDefault="00740169" w:rsidP="00CA627A">
          <w:pPr>
            <w:spacing w:line="380" w:lineRule="exact"/>
            <w:jc w:val="right"/>
          </w:pPr>
          <w:r>
            <w:rPr>
              <w:sz w:val="40"/>
            </w:rPr>
            <w:t>CEDAW</w:t>
          </w:r>
          <w:r>
            <w:t>/C/MAR/Q/4</w:t>
          </w:r>
        </w:p>
      </w:tc>
    </w:tr>
    <w:tr w:rsidR="00740169" w:rsidRPr="00CA627A">
      <w:trPr>
        <w:trHeight w:hRule="exact" w:val="2880"/>
      </w:trPr>
      <w:tc>
        <w:tcPr>
          <w:tcW w:w="1282" w:type="dxa"/>
          <w:tcBorders>
            <w:top w:val="single" w:sz="4" w:space="0" w:color="auto"/>
            <w:bottom w:val="single" w:sz="12" w:space="0" w:color="auto"/>
          </w:tcBorders>
          <w:shd w:val="clear" w:color="auto" w:fill="auto"/>
        </w:tcPr>
        <w:p w:rsidR="00740169" w:rsidRDefault="00740169" w:rsidP="00CA627A">
          <w:pPr>
            <w:pStyle w:val="Intestazione"/>
            <w:spacing w:before="109"/>
            <w:jc w:val="right"/>
          </w:pPr>
          <w:r>
            <w:t xml:space="preserve"> </w:t>
          </w:r>
          <w:r w:rsidR="00E4511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46.8pt">
                <v:imagedata r:id="rId1" o:title="_unlogo"/>
              </v:shape>
            </w:pict>
          </w:r>
        </w:p>
        <w:p w:rsidR="00740169" w:rsidRPr="00CA627A" w:rsidRDefault="00740169" w:rsidP="00CA627A">
          <w:pPr>
            <w:pStyle w:val="Intestazione"/>
            <w:spacing w:before="109"/>
            <w:jc w:val="right"/>
          </w:pPr>
        </w:p>
      </w:tc>
      <w:tc>
        <w:tcPr>
          <w:tcW w:w="5227" w:type="dxa"/>
          <w:gridSpan w:val="3"/>
          <w:tcBorders>
            <w:top w:val="single" w:sz="4" w:space="0" w:color="auto"/>
            <w:bottom w:val="single" w:sz="12" w:space="0" w:color="auto"/>
          </w:tcBorders>
          <w:shd w:val="clear" w:color="auto" w:fill="auto"/>
        </w:tcPr>
        <w:p w:rsidR="00740169" w:rsidRPr="00CA627A" w:rsidRDefault="00740169" w:rsidP="00CA627A">
          <w:pPr>
            <w:pStyle w:val="XLarge"/>
            <w:spacing w:before="109" w:line="520" w:lineRule="exact"/>
            <w:ind w:left="14" w:right="14"/>
            <w:jc w:val="left"/>
            <w:rPr>
              <w:szCs w:val="50"/>
            </w:rPr>
          </w:pPr>
          <w:r>
            <w:rPr>
              <w:szCs w:val="50"/>
              <w:rtl/>
            </w:rPr>
            <w:t>اتفاقية القضاء على جميـع</w:t>
          </w:r>
          <w:r>
            <w:rPr>
              <w:szCs w:val="50"/>
              <w:rtl/>
            </w:rPr>
            <w:br/>
            <w:t>أشكال التمييز ضد المرأة</w:t>
          </w:r>
        </w:p>
      </w:tc>
      <w:tc>
        <w:tcPr>
          <w:tcW w:w="245" w:type="dxa"/>
          <w:tcBorders>
            <w:top w:val="single" w:sz="4" w:space="0" w:color="auto"/>
            <w:bottom w:val="single" w:sz="12" w:space="0" w:color="auto"/>
          </w:tcBorders>
          <w:shd w:val="clear" w:color="auto" w:fill="auto"/>
        </w:tcPr>
        <w:p w:rsidR="00740169" w:rsidRPr="00CA627A" w:rsidRDefault="00740169" w:rsidP="00CA627A">
          <w:pPr>
            <w:pStyle w:val="Intestazione"/>
            <w:spacing w:before="109"/>
          </w:pPr>
        </w:p>
      </w:tc>
      <w:tc>
        <w:tcPr>
          <w:tcW w:w="3100" w:type="dxa"/>
          <w:gridSpan w:val="2"/>
          <w:tcBorders>
            <w:top w:val="single" w:sz="4" w:space="0" w:color="auto"/>
            <w:bottom w:val="single" w:sz="12" w:space="0" w:color="auto"/>
          </w:tcBorders>
          <w:shd w:val="clear" w:color="auto" w:fill="auto"/>
        </w:tcPr>
        <w:p w:rsidR="00740169" w:rsidRDefault="00740169" w:rsidP="00CA627A">
          <w:pPr>
            <w:bidi w:val="0"/>
            <w:spacing w:before="240" w:line="240" w:lineRule="exact"/>
          </w:pPr>
          <w:r>
            <w:t>Distr.: General</w:t>
          </w:r>
        </w:p>
        <w:p w:rsidR="00740169" w:rsidRDefault="00740169" w:rsidP="00CA627A">
          <w:pPr>
            <w:bidi w:val="0"/>
            <w:spacing w:line="240" w:lineRule="exact"/>
            <w:jc w:val="left"/>
          </w:pPr>
          <w:r>
            <w:t>16 August 2007</w:t>
          </w:r>
        </w:p>
        <w:p w:rsidR="00740169" w:rsidRDefault="00740169" w:rsidP="00CA627A">
          <w:pPr>
            <w:bidi w:val="0"/>
            <w:spacing w:line="240" w:lineRule="exact"/>
            <w:jc w:val="left"/>
          </w:pPr>
          <w:r>
            <w:t>Arabic</w:t>
          </w:r>
        </w:p>
        <w:p w:rsidR="00740169" w:rsidRPr="00CA627A" w:rsidRDefault="00740169" w:rsidP="00CA627A">
          <w:pPr>
            <w:bidi w:val="0"/>
            <w:spacing w:line="240" w:lineRule="exact"/>
            <w:jc w:val="left"/>
          </w:pPr>
          <w:r>
            <w:t>Original: English</w:t>
          </w:r>
        </w:p>
      </w:tc>
    </w:tr>
  </w:tbl>
  <w:p w:rsidR="00740169" w:rsidRPr="00CA627A" w:rsidRDefault="00740169" w:rsidP="00CA627A">
    <w:pPr>
      <w:pStyle w:val="Intestazione"/>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62"/>
  <w:autoHyphenation/>
  <w:hyphenationZone w:val="283"/>
  <w:evenAndOddHeaders/>
  <w:drawingGridHorizontalSpacing w:val="10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printColBlack/>
    <w:showBreaksInFrames/>
    <w:suppressBottomSpacing/>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0746363*"/>
    <w:docVar w:name="CreationDt" w:val="05/09/2007 09:137 ص"/>
    <w:docVar w:name="DocCategory" w:val="Doc"/>
    <w:docVar w:name="DocType" w:val="Final"/>
    <w:docVar w:name="FooterJN" w:val="07-46363"/>
    <w:docVar w:name="jobn" w:val="07-46363 (A)"/>
    <w:docVar w:name="jobnDT" w:val="07-46363 (A)   050907"/>
    <w:docVar w:name="jobnDTDT" w:val="07-46363 (A)   050907   050907"/>
    <w:docVar w:name="JobNo" w:val="0746363A"/>
    <w:docVar w:name="OandT" w:val=" "/>
    <w:docVar w:name="sss1" w:val="CEDAW/C/MAR/Q/4"/>
    <w:docVar w:name="sss2" w:val="-"/>
    <w:docVar w:name="Symbol1" w:val="CEDAW/C/MAR/Q/4"/>
    <w:docVar w:name="Symbol2" w:val="-"/>
  </w:docVars>
  <w:rsids>
    <w:rsidRoot w:val="001B4DC7"/>
    <w:rsid w:val="00042425"/>
    <w:rsid w:val="0006648F"/>
    <w:rsid w:val="00087310"/>
    <w:rsid w:val="0009732C"/>
    <w:rsid w:val="000C4EED"/>
    <w:rsid w:val="000D2CEC"/>
    <w:rsid w:val="00101EE8"/>
    <w:rsid w:val="00113349"/>
    <w:rsid w:val="001519A9"/>
    <w:rsid w:val="001737F8"/>
    <w:rsid w:val="0018018E"/>
    <w:rsid w:val="00187870"/>
    <w:rsid w:val="001B4DC7"/>
    <w:rsid w:val="001F6786"/>
    <w:rsid w:val="002416C5"/>
    <w:rsid w:val="00266F59"/>
    <w:rsid w:val="00272B6C"/>
    <w:rsid w:val="0027623A"/>
    <w:rsid w:val="00290F2F"/>
    <w:rsid w:val="002937DA"/>
    <w:rsid w:val="002A09C6"/>
    <w:rsid w:val="002C2AF2"/>
    <w:rsid w:val="002C4E1B"/>
    <w:rsid w:val="002E43CA"/>
    <w:rsid w:val="00312162"/>
    <w:rsid w:val="003501D5"/>
    <w:rsid w:val="00371AC4"/>
    <w:rsid w:val="00383CA8"/>
    <w:rsid w:val="0038587A"/>
    <w:rsid w:val="003A65ED"/>
    <w:rsid w:val="003D4612"/>
    <w:rsid w:val="003F4B8C"/>
    <w:rsid w:val="00401BDF"/>
    <w:rsid w:val="00411BBD"/>
    <w:rsid w:val="00415922"/>
    <w:rsid w:val="00423BD7"/>
    <w:rsid w:val="0042757D"/>
    <w:rsid w:val="00437C14"/>
    <w:rsid w:val="004527C9"/>
    <w:rsid w:val="00453069"/>
    <w:rsid w:val="00483F5B"/>
    <w:rsid w:val="00490874"/>
    <w:rsid w:val="00494EE2"/>
    <w:rsid w:val="00496E83"/>
    <w:rsid w:val="004A2886"/>
    <w:rsid w:val="004B14A0"/>
    <w:rsid w:val="004C449E"/>
    <w:rsid w:val="004D1B0C"/>
    <w:rsid w:val="004F1402"/>
    <w:rsid w:val="004F5E1B"/>
    <w:rsid w:val="0050659B"/>
    <w:rsid w:val="00524A2E"/>
    <w:rsid w:val="005279DE"/>
    <w:rsid w:val="00532520"/>
    <w:rsid w:val="00534772"/>
    <w:rsid w:val="00537FCD"/>
    <w:rsid w:val="00545F76"/>
    <w:rsid w:val="005545BB"/>
    <w:rsid w:val="00556882"/>
    <w:rsid w:val="00561E43"/>
    <w:rsid w:val="0057078E"/>
    <w:rsid w:val="005838F5"/>
    <w:rsid w:val="00591B45"/>
    <w:rsid w:val="005A0F73"/>
    <w:rsid w:val="005A2EA3"/>
    <w:rsid w:val="005C2ECE"/>
    <w:rsid w:val="006135CD"/>
    <w:rsid w:val="00616E82"/>
    <w:rsid w:val="006218A3"/>
    <w:rsid w:val="006564CE"/>
    <w:rsid w:val="00663F64"/>
    <w:rsid w:val="00696B7A"/>
    <w:rsid w:val="006C38EE"/>
    <w:rsid w:val="006C58EB"/>
    <w:rsid w:val="006C6965"/>
    <w:rsid w:val="0071531E"/>
    <w:rsid w:val="0071645B"/>
    <w:rsid w:val="00716E9D"/>
    <w:rsid w:val="00740169"/>
    <w:rsid w:val="00746E59"/>
    <w:rsid w:val="00747B9E"/>
    <w:rsid w:val="007524BE"/>
    <w:rsid w:val="007525FA"/>
    <w:rsid w:val="00774FF0"/>
    <w:rsid w:val="0079046D"/>
    <w:rsid w:val="00792B74"/>
    <w:rsid w:val="0079753A"/>
    <w:rsid w:val="007A6DD9"/>
    <w:rsid w:val="007D60E0"/>
    <w:rsid w:val="007D6B8D"/>
    <w:rsid w:val="007E32B9"/>
    <w:rsid w:val="0081284F"/>
    <w:rsid w:val="00814843"/>
    <w:rsid w:val="008170DE"/>
    <w:rsid w:val="00830E32"/>
    <w:rsid w:val="00873A11"/>
    <w:rsid w:val="00873AF9"/>
    <w:rsid w:val="008D1C04"/>
    <w:rsid w:val="008F04A0"/>
    <w:rsid w:val="008F64A7"/>
    <w:rsid w:val="0090012B"/>
    <w:rsid w:val="0090351F"/>
    <w:rsid w:val="00970BAD"/>
    <w:rsid w:val="009768D1"/>
    <w:rsid w:val="009829B7"/>
    <w:rsid w:val="00986E8A"/>
    <w:rsid w:val="009927C0"/>
    <w:rsid w:val="009961E6"/>
    <w:rsid w:val="009B6C65"/>
    <w:rsid w:val="009C0017"/>
    <w:rsid w:val="009C15F4"/>
    <w:rsid w:val="009D62A3"/>
    <w:rsid w:val="009E2A1F"/>
    <w:rsid w:val="00A13B14"/>
    <w:rsid w:val="00A37C4B"/>
    <w:rsid w:val="00A572C5"/>
    <w:rsid w:val="00A66F66"/>
    <w:rsid w:val="00A71AE5"/>
    <w:rsid w:val="00A72F27"/>
    <w:rsid w:val="00AA1E16"/>
    <w:rsid w:val="00AB57C1"/>
    <w:rsid w:val="00AC002C"/>
    <w:rsid w:val="00AC6CDD"/>
    <w:rsid w:val="00AD38D0"/>
    <w:rsid w:val="00AE108C"/>
    <w:rsid w:val="00AF1A53"/>
    <w:rsid w:val="00AF7AC7"/>
    <w:rsid w:val="00B05ADC"/>
    <w:rsid w:val="00B272BE"/>
    <w:rsid w:val="00B80DDA"/>
    <w:rsid w:val="00B9542C"/>
    <w:rsid w:val="00B95560"/>
    <w:rsid w:val="00B95CB1"/>
    <w:rsid w:val="00BA7FAB"/>
    <w:rsid w:val="00BC2F4C"/>
    <w:rsid w:val="00BC4A05"/>
    <w:rsid w:val="00BF0B15"/>
    <w:rsid w:val="00C12CBB"/>
    <w:rsid w:val="00C25A2D"/>
    <w:rsid w:val="00C260F8"/>
    <w:rsid w:val="00C43FBE"/>
    <w:rsid w:val="00C449C6"/>
    <w:rsid w:val="00C564B0"/>
    <w:rsid w:val="00C6283F"/>
    <w:rsid w:val="00C814A5"/>
    <w:rsid w:val="00C96573"/>
    <w:rsid w:val="00CA627A"/>
    <w:rsid w:val="00CD0BB8"/>
    <w:rsid w:val="00CD3849"/>
    <w:rsid w:val="00CF7384"/>
    <w:rsid w:val="00D105C6"/>
    <w:rsid w:val="00D2343D"/>
    <w:rsid w:val="00D30EAE"/>
    <w:rsid w:val="00D318F1"/>
    <w:rsid w:val="00D40B0E"/>
    <w:rsid w:val="00D8706B"/>
    <w:rsid w:val="00DA66B7"/>
    <w:rsid w:val="00DB0865"/>
    <w:rsid w:val="00DE5433"/>
    <w:rsid w:val="00DE68A7"/>
    <w:rsid w:val="00DF5F38"/>
    <w:rsid w:val="00E23336"/>
    <w:rsid w:val="00E31661"/>
    <w:rsid w:val="00E32B52"/>
    <w:rsid w:val="00E45116"/>
    <w:rsid w:val="00E47EB8"/>
    <w:rsid w:val="00E51372"/>
    <w:rsid w:val="00E750E1"/>
    <w:rsid w:val="00E9114A"/>
    <w:rsid w:val="00E954AF"/>
    <w:rsid w:val="00EA489C"/>
    <w:rsid w:val="00EB0CA7"/>
    <w:rsid w:val="00EB4992"/>
    <w:rsid w:val="00EF2E52"/>
    <w:rsid w:val="00F32E4A"/>
    <w:rsid w:val="00F36D8C"/>
    <w:rsid w:val="00F3732E"/>
    <w:rsid w:val="00F93545"/>
    <w:rsid w:val="00F96FBA"/>
    <w:rsid w:val="00FB4E06"/>
    <w:rsid w:val="00FC3483"/>
    <w:rsid w:val="00FC4D68"/>
    <w:rsid w:val="00FD2ADA"/>
    <w:rsid w:val="00FF4B7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B4992"/>
    <w:pPr>
      <w:bidi/>
      <w:spacing w:line="400" w:lineRule="exact"/>
      <w:jc w:val="lowKashida"/>
    </w:pPr>
    <w:rPr>
      <w:w w:val="103"/>
      <w:kern w:val="14"/>
      <w:szCs w:val="30"/>
      <w:lang w:val="en-US" w:eastAsia="en-US"/>
    </w:rPr>
  </w:style>
  <w:style w:type="paragraph" w:styleId="Titolo1">
    <w:name w:val="heading 1"/>
    <w:basedOn w:val="Normale"/>
    <w:next w:val="Normale"/>
    <w:qFormat/>
    <w:rsid w:val="00EB4992"/>
    <w:pPr>
      <w:keepNext/>
      <w:outlineLvl w:val="0"/>
    </w:pPr>
    <w:rPr>
      <w:sz w:val="24"/>
      <w:szCs w:val="24"/>
    </w:rPr>
  </w:style>
  <w:style w:type="paragraph" w:styleId="Titolo2">
    <w:name w:val="heading 2"/>
    <w:basedOn w:val="Normale"/>
    <w:next w:val="Normale"/>
    <w:qFormat/>
    <w:rsid w:val="00EB4992"/>
    <w:pPr>
      <w:keepNext/>
      <w:outlineLvl w:val="1"/>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1">
    <w:name w:val="_ H_1"/>
    <w:basedOn w:val="Normale"/>
    <w:next w:val="SingleTxt"/>
    <w:rsid w:val="00EB4992"/>
    <w:pPr>
      <w:keepNext/>
      <w:keepLines/>
      <w:suppressAutoHyphens/>
      <w:outlineLvl w:val="0"/>
    </w:pPr>
    <w:rPr>
      <w:b/>
      <w:bCs/>
      <w:sz w:val="24"/>
      <w:szCs w:val="34"/>
    </w:rPr>
  </w:style>
  <w:style w:type="paragraph" w:customStyle="1" w:styleId="HCh">
    <w:name w:val="_ H _Ch"/>
    <w:basedOn w:val="H1"/>
    <w:next w:val="SingleTxt"/>
    <w:rsid w:val="00EB4992"/>
    <w:pPr>
      <w:spacing w:line="450" w:lineRule="exact"/>
    </w:pPr>
    <w:rPr>
      <w:spacing w:val="-2"/>
      <w:sz w:val="28"/>
      <w:szCs w:val="38"/>
    </w:rPr>
  </w:style>
  <w:style w:type="paragraph" w:customStyle="1" w:styleId="HM">
    <w:name w:val="_ H __M"/>
    <w:basedOn w:val="HCh"/>
    <w:next w:val="Normale"/>
    <w:rsid w:val="00EB4992"/>
    <w:pPr>
      <w:spacing w:line="540" w:lineRule="exact"/>
    </w:pPr>
    <w:rPr>
      <w:spacing w:val="-3"/>
      <w:w w:val="99"/>
      <w:sz w:val="34"/>
      <w:szCs w:val="51"/>
    </w:rPr>
  </w:style>
  <w:style w:type="paragraph" w:customStyle="1" w:styleId="H23">
    <w:name w:val="_ H_2/3"/>
    <w:basedOn w:val="H1"/>
    <w:next w:val="SingleTxt"/>
    <w:rsid w:val="00EB4992"/>
    <w:pPr>
      <w:jc w:val="both"/>
      <w:outlineLvl w:val="1"/>
    </w:pPr>
    <w:rPr>
      <w:spacing w:val="2"/>
      <w:sz w:val="20"/>
      <w:szCs w:val="30"/>
    </w:rPr>
  </w:style>
  <w:style w:type="paragraph" w:customStyle="1" w:styleId="H4">
    <w:name w:val="_ H_4"/>
    <w:basedOn w:val="Normale"/>
    <w:next w:val="Normale"/>
    <w:rsid w:val="00EB4992"/>
    <w:pPr>
      <w:keepNext/>
      <w:keepLines/>
      <w:suppressAutoHyphens/>
      <w:spacing w:line="360" w:lineRule="exact"/>
      <w:outlineLvl w:val="3"/>
    </w:pPr>
    <w:rPr>
      <w:i/>
      <w:iCs/>
      <w:spacing w:val="3"/>
    </w:rPr>
  </w:style>
  <w:style w:type="paragraph" w:customStyle="1" w:styleId="H56">
    <w:name w:val="_ H_5/6"/>
    <w:basedOn w:val="Normale"/>
    <w:next w:val="Normale"/>
    <w:rsid w:val="00EB4992"/>
    <w:pPr>
      <w:keepNext/>
      <w:keepLines/>
      <w:suppressAutoHyphens/>
      <w:spacing w:line="360" w:lineRule="exact"/>
      <w:outlineLvl w:val="4"/>
    </w:pPr>
  </w:style>
  <w:style w:type="paragraph" w:customStyle="1" w:styleId="DualTxt">
    <w:name w:val="__Dual Txt"/>
    <w:basedOn w:val="Normale"/>
    <w:rsid w:val="00EB4992"/>
    <w:pPr>
      <w:tabs>
        <w:tab w:val="left" w:pos="662"/>
        <w:tab w:val="left" w:pos="1325"/>
        <w:tab w:val="left" w:pos="1987"/>
        <w:tab w:val="left" w:pos="2650"/>
        <w:tab w:val="left" w:pos="3312"/>
        <w:tab w:val="left" w:pos="3974"/>
        <w:tab w:val="left" w:pos="4637"/>
      </w:tabs>
      <w:spacing w:after="120"/>
    </w:pPr>
  </w:style>
  <w:style w:type="paragraph" w:customStyle="1" w:styleId="SingleTxt">
    <w:name w:val="__Single Txt"/>
    <w:basedOn w:val="Normale"/>
    <w:rsid w:val="00EB4992"/>
    <w:pPr>
      <w:tabs>
        <w:tab w:val="left" w:pos="1267"/>
        <w:tab w:val="left" w:pos="1930"/>
        <w:tab w:val="left" w:pos="2592"/>
        <w:tab w:val="left" w:pos="3254"/>
        <w:tab w:val="left" w:pos="3917"/>
        <w:tab w:val="left" w:pos="4579"/>
        <w:tab w:val="left" w:pos="5242"/>
        <w:tab w:val="left" w:pos="5904"/>
        <w:tab w:val="left" w:pos="6566"/>
      </w:tabs>
      <w:spacing w:after="120"/>
      <w:ind w:left="1267" w:right="1267"/>
    </w:pPr>
  </w:style>
  <w:style w:type="character" w:styleId="Rimandocommento">
    <w:name w:val="annotation reference"/>
    <w:semiHidden/>
    <w:rsid w:val="00EB4992"/>
    <w:rPr>
      <w:sz w:val="6"/>
      <w:szCs w:val="9"/>
    </w:rPr>
  </w:style>
  <w:style w:type="paragraph" w:styleId="Testonotaapidipagina">
    <w:name w:val="footnote text"/>
    <w:basedOn w:val="Normale"/>
    <w:semiHidden/>
    <w:rsid w:val="00EB4992"/>
    <w:pPr>
      <w:tabs>
        <w:tab w:val="right" w:pos="418"/>
      </w:tabs>
      <w:spacing w:line="300" w:lineRule="exact"/>
      <w:ind w:left="662" w:right="662" w:hanging="662"/>
    </w:pPr>
    <w:rPr>
      <w:w w:val="100"/>
      <w:sz w:val="17"/>
      <w:szCs w:val="26"/>
    </w:rPr>
  </w:style>
  <w:style w:type="paragraph" w:styleId="Testonotadichiusura">
    <w:name w:val="endnote text"/>
    <w:basedOn w:val="Testonotaapidipagina"/>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paragraph" w:styleId="Pidipagina">
    <w:name w:val="footer"/>
    <w:rsid w:val="00EB4992"/>
    <w:pPr>
      <w:tabs>
        <w:tab w:val="center" w:pos="4320"/>
        <w:tab w:val="right" w:pos="8640"/>
      </w:tabs>
      <w:spacing w:line="210" w:lineRule="exact"/>
    </w:pPr>
    <w:rPr>
      <w:b/>
      <w:bCs/>
      <w:noProof/>
      <w:sz w:val="17"/>
      <w:szCs w:val="25"/>
      <w:lang w:val="en-US" w:eastAsia="en-US"/>
    </w:rPr>
  </w:style>
  <w:style w:type="character" w:styleId="Rimandonotaapidipagina">
    <w:name w:val="footnote reference"/>
    <w:semiHidden/>
    <w:rsid w:val="00EB4992"/>
    <w:rPr>
      <w:rFonts w:ascii="Times New Roman" w:hAnsi="Times New Roman" w:cs="Traditional Arabic"/>
      <w:spacing w:val="-5"/>
      <w:w w:val="100"/>
      <w:position w:val="0"/>
      <w:sz w:val="17"/>
      <w:szCs w:val="26"/>
      <w:vertAlign w:val="superscript"/>
      <w:lang w:val="en-US" w:bidi="ar-SA"/>
    </w:rPr>
  </w:style>
  <w:style w:type="paragraph" w:styleId="Intestazione">
    <w:name w:val="header"/>
    <w:rsid w:val="00EB4992"/>
    <w:pPr>
      <w:tabs>
        <w:tab w:val="center" w:pos="4320"/>
        <w:tab w:val="right" w:pos="8640"/>
      </w:tabs>
    </w:pPr>
    <w:rPr>
      <w:b/>
      <w:bCs/>
      <w:noProof/>
      <w:w w:val="105"/>
      <w:sz w:val="17"/>
      <w:szCs w:val="25"/>
      <w:lang w:val="en-US" w:eastAsia="en-US"/>
    </w:rPr>
  </w:style>
  <w:style w:type="character" w:styleId="Numeroriga">
    <w:name w:val="line number"/>
    <w:rsid w:val="00EB4992"/>
    <w:rPr>
      <w:sz w:val="14"/>
      <w:szCs w:val="16"/>
    </w:rPr>
  </w:style>
  <w:style w:type="paragraph" w:customStyle="1" w:styleId="Small">
    <w:name w:val="Small"/>
    <w:basedOn w:val="Normale"/>
    <w:next w:val="Normale"/>
    <w:rsid w:val="00EB4992"/>
    <w:pPr>
      <w:tabs>
        <w:tab w:val="right" w:leader="dot" w:pos="360"/>
      </w:tabs>
      <w:spacing w:line="310" w:lineRule="exact"/>
      <w:jc w:val="right"/>
    </w:pPr>
    <w:rPr>
      <w:spacing w:val="5"/>
      <w:w w:val="104"/>
      <w:sz w:val="17"/>
      <w:szCs w:val="25"/>
    </w:rPr>
  </w:style>
  <w:style w:type="paragraph" w:customStyle="1" w:styleId="SmallX">
    <w:name w:val="SmallX"/>
    <w:basedOn w:val="Small"/>
    <w:next w:val="Normale"/>
    <w:rsid w:val="00EB4992"/>
    <w:pPr>
      <w:spacing w:line="240" w:lineRule="exact"/>
    </w:pPr>
    <w:rPr>
      <w:spacing w:val="6"/>
      <w:w w:val="106"/>
      <w:sz w:val="14"/>
      <w:szCs w:val="21"/>
    </w:rPr>
  </w:style>
  <w:style w:type="paragraph" w:customStyle="1" w:styleId="XLarge">
    <w:name w:val="XLarge"/>
    <w:basedOn w:val="HM"/>
    <w:rsid w:val="00EB4992"/>
    <w:pPr>
      <w:tabs>
        <w:tab w:val="right" w:leader="dot" w:pos="360"/>
      </w:tabs>
      <w:spacing w:line="580" w:lineRule="exact"/>
      <w:jc w:val="right"/>
    </w:pPr>
    <w:rPr>
      <w:spacing w:val="-4"/>
      <w:w w:val="98"/>
      <w:sz w:val="40"/>
      <w:szCs w:val="60"/>
    </w:rPr>
  </w:style>
  <w:style w:type="paragraph" w:customStyle="1" w:styleId="XXLarge">
    <w:name w:val="XXLarge"/>
    <w:basedOn w:val="XLarge"/>
    <w:next w:val="Normale"/>
    <w:rsid w:val="00EB4992"/>
    <w:pPr>
      <w:spacing w:line="820" w:lineRule="exact"/>
    </w:pPr>
    <w:rPr>
      <w:spacing w:val="-8"/>
      <w:w w:val="96"/>
      <w:sz w:val="57"/>
      <w:szCs w:val="86"/>
    </w:rPr>
  </w:style>
  <w:style w:type="paragraph" w:customStyle="1" w:styleId="JDualTxt">
    <w:name w:val="J__Dual Txt"/>
    <w:basedOn w:val="Normale"/>
    <w:rsid w:val="00EB4992"/>
    <w:pPr>
      <w:tabs>
        <w:tab w:val="left" w:pos="475"/>
        <w:tab w:val="left" w:pos="950"/>
        <w:tab w:val="left" w:pos="1426"/>
        <w:tab w:val="left" w:pos="1901"/>
        <w:tab w:val="center" w:pos="2563"/>
        <w:tab w:val="right" w:pos="5040"/>
      </w:tabs>
      <w:spacing w:after="80" w:line="300" w:lineRule="exact"/>
    </w:pPr>
    <w:rPr>
      <w:sz w:val="17"/>
      <w:szCs w:val="26"/>
    </w:rPr>
  </w:style>
  <w:style w:type="paragraph" w:customStyle="1" w:styleId="JSingleTxt">
    <w:name w:val="J__Single Txt"/>
    <w:basedOn w:val="Normale"/>
    <w:rsid w:val="00EB4992"/>
    <w:pPr>
      <w:tabs>
        <w:tab w:val="left" w:pos="1843"/>
        <w:tab w:val="left" w:pos="2419"/>
        <w:tab w:val="left" w:pos="2995"/>
        <w:tab w:val="left" w:pos="3571"/>
        <w:tab w:val="left" w:pos="4147"/>
        <w:tab w:val="left" w:pos="4723"/>
        <w:tab w:val="center" w:pos="5486"/>
        <w:tab w:val="right" w:pos="9547"/>
      </w:tabs>
      <w:spacing w:after="80" w:line="300" w:lineRule="exact"/>
      <w:ind w:left="1267" w:right="1267"/>
    </w:pPr>
    <w:rPr>
      <w:sz w:val="17"/>
      <w:szCs w:val="26"/>
    </w:rPr>
  </w:style>
  <w:style w:type="paragraph" w:customStyle="1" w:styleId="JCH">
    <w:name w:val="J_C_H"/>
    <w:basedOn w:val="JSingleTxt"/>
    <w:rsid w:val="00EB4992"/>
    <w:pPr>
      <w:tabs>
        <w:tab w:val="clear" w:pos="4147"/>
        <w:tab w:val="clear" w:pos="4723"/>
        <w:tab w:val="clear" w:pos="5486"/>
        <w:tab w:val="center" w:pos="5400"/>
      </w:tabs>
      <w:spacing w:after="120" w:line="440" w:lineRule="exact"/>
      <w:ind w:left="0" w:right="0"/>
      <w:jc w:val="center"/>
    </w:pPr>
    <w:rPr>
      <w:b/>
      <w:bCs/>
      <w:sz w:val="25"/>
      <w:szCs w:val="38"/>
    </w:rPr>
  </w:style>
  <w:style w:type="paragraph" w:customStyle="1" w:styleId="JH1">
    <w:name w:val="J_H_1"/>
    <w:basedOn w:val="JCH"/>
    <w:rsid w:val="00EB4992"/>
    <w:pPr>
      <w:spacing w:line="420" w:lineRule="exact"/>
    </w:pPr>
    <w:rPr>
      <w:sz w:val="23"/>
      <w:szCs w:val="34"/>
    </w:rPr>
  </w:style>
  <w:style w:type="paragraph" w:customStyle="1" w:styleId="JH2">
    <w:name w:val="J_H_2"/>
    <w:basedOn w:val="JH1"/>
    <w:rsid w:val="00EB4992"/>
    <w:pPr>
      <w:spacing w:line="400" w:lineRule="exact"/>
    </w:pPr>
    <w:rPr>
      <w:sz w:val="20"/>
      <w:szCs w:val="30"/>
    </w:rPr>
  </w:style>
  <w:style w:type="paragraph" w:styleId="Testofumetto">
    <w:name w:val="Balloon Text"/>
    <w:basedOn w:val="Normale"/>
    <w:semiHidden/>
    <w:rsid w:val="00EB4992"/>
    <w:rPr>
      <w:rFonts w:ascii="Tahoma" w:hAnsi="Tahoma" w:cs="Tahoma"/>
      <w:sz w:val="16"/>
      <w:szCs w:val="16"/>
    </w:rPr>
  </w:style>
  <w:style w:type="paragraph" w:customStyle="1" w:styleId="JSmall">
    <w:name w:val="J_Small"/>
    <w:basedOn w:val="JSingleTxt"/>
    <w:next w:val="JSingleTxt"/>
    <w:rsid w:val="00EF2E52"/>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styleId="Testocommento">
    <w:name w:val="annotation text"/>
    <w:basedOn w:val="Normale"/>
    <w:semiHidden/>
    <w:rsid w:val="00CA627A"/>
    <w:rPr>
      <w:szCs w:val="20"/>
    </w:rPr>
  </w:style>
  <w:style w:type="paragraph" w:styleId="Soggettocommento">
    <w:name w:val="annotation subject"/>
    <w:basedOn w:val="Testocommento"/>
    <w:next w:val="Testocommento"/>
    <w:semiHidden/>
    <w:rsid w:val="00CA62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1641</Words>
  <Characters>9355</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Normal.dot</vt:lpstr>
      <vt:lpstr>Normal.dot</vt:lpstr>
    </vt:vector>
  </TitlesOfParts>
  <Company>United Nations</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SARKIS</dc:creator>
  <cp:lastModifiedBy>Carmelo</cp:lastModifiedBy>
  <cp:revision>2</cp:revision>
  <cp:lastPrinted>2007-09-05T11:50:00Z</cp:lastPrinted>
  <dcterms:created xsi:type="dcterms:W3CDTF">2016-01-15T11:47:00Z</dcterms:created>
  <dcterms:modified xsi:type="dcterms:W3CDTF">2016-01-15T11:47:00Z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0746363</vt:lpwstr>
  </property>
  <property fmtid="{D5CDD505-2E9C-101B-9397-08002B2CF9AE}" pid="3" name="Symbol1">
    <vt:lpwstr>CEDAW/C/MAR/Q/4</vt:lpwstr>
  </property>
  <property fmtid="{D5CDD505-2E9C-101B-9397-08002B2CF9AE}" pid="4" name="Symbol2">
    <vt:lpwstr/>
  </property>
  <property fmtid="{D5CDD505-2E9C-101B-9397-08002B2CF9AE}" pid="5" name="Translator">
    <vt:lpwstr/>
  </property>
  <property fmtid="{D5CDD505-2E9C-101B-9397-08002B2CF9AE}" pid="6" name="Operator">
    <vt:lpwstr/>
  </property>
  <property fmtid="{D5CDD505-2E9C-101B-9397-08002B2CF9AE}" pid="7" name="DraftPages">
    <vt:lpwstr> </vt:lpwstr>
  </property>
  <property fmtid="{D5CDD505-2E9C-101B-9397-08002B2CF9AE}" pid="8" name="Comment">
    <vt:lpwstr/>
  </property>
</Properties>
</file>