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4" w:rsidRDefault="008F0329">
      <w:pPr>
        <w:spacing w:before="0" w:after="0"/>
        <w:jc w:val="both"/>
        <w:rPr>
          <w:noProof/>
          <w:spacing w:val="0"/>
          <w:sz w:val="36"/>
          <w:szCs w:val="36"/>
          <w:rtl/>
          <w:lang w:val="ar-SA"/>
        </w:rPr>
      </w:pPr>
      <w:bookmarkStart w:id="0" w:name="_GoBack"/>
      <w:bookmarkEnd w:id="0"/>
      <w:r>
        <w:rPr>
          <w:noProof/>
          <w:spacing w:val="0"/>
          <w:sz w:val="36"/>
          <w:szCs w:val="36"/>
          <w:rtl/>
          <w:lang w:val="ar-SA"/>
        </w:rPr>
        <w:pict>
          <v:shapetype id="_x0000_t202" coordsize="21600,21600" o:spt="202" path="m,l,21600r21600,l21600,xe">
            <v:stroke joinstyle="miter"/>
            <v:path gradientshapeok="t" o:connecttype="rect"/>
          </v:shapetype>
          <v:shape id="_x0000_s1026" type="#_x0000_t202" style="position:absolute;left:0;text-align:left;margin-left:42.55pt;margin-top:-119.95pt;width:201.25pt;height:103.75pt;z-index:1;mso-position-horizontal-relative:page" filled="f" stroked="f">
            <o:lock v:ext="edit" aspectratio="t"/>
            <v:textbox style="mso-next-textbox:#_x0000_s1026" inset="0,0,0,0">
              <w:txbxContent>
                <w:p w:rsidR="009A6574" w:rsidRDefault="008F0329">
                  <w:pPr>
                    <w:bidi w:val="0"/>
                    <w:spacing w:before="0" w:after="0"/>
                    <w:jc w:val="left"/>
                    <w:rPr>
                      <w:rFonts w:cs="Times New Roman"/>
                      <w:szCs w:val="22"/>
                      <w:lang w:eastAsia="en-US"/>
                    </w:rPr>
                  </w:pPr>
                  <w:r>
                    <w:rPr>
                      <w:rFonts w:cs="Times New Roman"/>
                      <w:szCs w:val="22"/>
                      <w:lang w:eastAsia="en-US"/>
                    </w:rPr>
                    <w:t>Distr.</w:t>
                  </w:r>
                </w:p>
                <w:p w:rsidR="009A6574" w:rsidRDefault="008F0329">
                  <w:pPr>
                    <w:bidi w:val="0"/>
                    <w:spacing w:before="0" w:after="0"/>
                    <w:jc w:val="left"/>
                    <w:rPr>
                      <w:rFonts w:cs="Times New Roman"/>
                      <w:szCs w:val="22"/>
                      <w:lang w:eastAsia="en-US"/>
                    </w:rPr>
                  </w:pPr>
                  <w:r>
                    <w:rPr>
                      <w:rFonts w:cs="Times New Roman"/>
                      <w:szCs w:val="22"/>
                      <w:lang w:eastAsia="en-US"/>
                    </w:rPr>
                    <w:t>GENERAL</w:t>
                  </w:r>
                </w:p>
                <w:p w:rsidR="009A6574" w:rsidRDefault="009A6574">
                  <w:pPr>
                    <w:bidi w:val="0"/>
                    <w:spacing w:before="0" w:after="0"/>
                    <w:jc w:val="left"/>
                    <w:rPr>
                      <w:rFonts w:cs="Times New Roman"/>
                      <w:szCs w:val="22"/>
                      <w:lang w:eastAsia="en-US"/>
                    </w:rPr>
                  </w:pPr>
                </w:p>
                <w:p w:rsidR="009A6574" w:rsidRDefault="008F0329">
                  <w:pPr>
                    <w:bidi w:val="0"/>
                    <w:spacing w:before="0" w:after="0"/>
                    <w:jc w:val="left"/>
                    <w:rPr>
                      <w:szCs w:val="22"/>
                      <w:lang w:eastAsia="en-US"/>
                    </w:rPr>
                  </w:pPr>
                  <w:r>
                    <w:fldChar w:fldCharType="begin"/>
                  </w:r>
                  <w:r>
                    <w:rPr>
                      <w:szCs w:val="22"/>
                      <w:lang w:eastAsia="en-US"/>
                    </w:rPr>
                    <w:instrText xml:space="preserve"> FILLIN  \* MERGEFORMAT </w:instrText>
                  </w:r>
                  <w:r>
                    <w:fldChar w:fldCharType="separate"/>
                  </w:r>
                  <w:r>
                    <w:rPr>
                      <w:szCs w:val="22"/>
                      <w:lang w:eastAsia="en-US"/>
                    </w:rPr>
                    <w:t>CCPR/CO/82/MAR</w:t>
                  </w:r>
                  <w:r>
                    <w:rPr>
                      <w:szCs w:val="22"/>
                      <w:lang w:eastAsia="en-US"/>
                    </w:rPr>
                    <w:br/>
                    <w:t>1 December 2004</w:t>
                  </w:r>
                  <w:r>
                    <w:fldChar w:fldCharType="end"/>
                  </w:r>
                </w:p>
                <w:p w:rsidR="009A6574" w:rsidRDefault="009A6574">
                  <w:pPr>
                    <w:bidi w:val="0"/>
                    <w:spacing w:before="0" w:after="0"/>
                    <w:jc w:val="left"/>
                    <w:rPr>
                      <w:rFonts w:cs="Times New Roman"/>
                      <w:szCs w:val="22"/>
                      <w:lang w:eastAsia="en-US"/>
                    </w:rPr>
                  </w:pPr>
                </w:p>
                <w:p w:rsidR="009A6574" w:rsidRDefault="008F0329">
                  <w:pPr>
                    <w:bidi w:val="0"/>
                    <w:spacing w:before="0" w:after="0"/>
                    <w:jc w:val="left"/>
                    <w:rPr>
                      <w:rFonts w:cs="Times New Roman"/>
                      <w:szCs w:val="22"/>
                      <w:lang w:eastAsia="en-US"/>
                    </w:rPr>
                  </w:pPr>
                  <w:r>
                    <w:rPr>
                      <w:rFonts w:cs="Times New Roman"/>
                      <w:szCs w:val="22"/>
                      <w:lang w:eastAsia="en-US"/>
                    </w:rPr>
                    <w:t>ARABIC</w:t>
                  </w:r>
                </w:p>
                <w:p w:rsidR="009A6574" w:rsidRDefault="008F0329">
                  <w:pPr>
                    <w:bidi w:val="0"/>
                    <w:spacing w:before="0" w:after="0"/>
                    <w:jc w:val="left"/>
                    <w:rPr>
                      <w:rFonts w:cs="Times New Roman"/>
                      <w:szCs w:val="22"/>
                      <w:rtl/>
                      <w:lang w:eastAsia="en-US"/>
                    </w:rPr>
                  </w:pPr>
                  <w:r>
                    <w:rPr>
                      <w:rFonts w:cs="Times New Roman"/>
                      <w:szCs w:val="22"/>
                      <w:lang w:eastAsia="en-US"/>
                    </w:rPr>
                    <w:t>Original: FRENCH</w:t>
                  </w:r>
                </w:p>
              </w:txbxContent>
            </v:textbox>
            <w10:wrap anchorx="page"/>
            <w10:anchorlock/>
          </v:shape>
        </w:pict>
      </w:r>
      <w:r>
        <w:rPr>
          <w:rFonts w:hint="cs"/>
          <w:noProof/>
          <w:spacing w:val="0"/>
          <w:sz w:val="36"/>
          <w:szCs w:val="36"/>
          <w:rtl/>
          <w:lang w:val="ar-SA"/>
        </w:rPr>
        <w:t>اللجنة المعنية بحقوق الإنسان</w:t>
      </w:r>
    </w:p>
    <w:p w:rsidR="009A6574" w:rsidRDefault="008F0329">
      <w:pPr>
        <w:spacing w:before="0" w:after="0"/>
        <w:jc w:val="both"/>
        <w:rPr>
          <w:spacing w:val="0"/>
          <w:sz w:val="30"/>
          <w:rtl/>
        </w:rPr>
      </w:pPr>
      <w:r>
        <w:rPr>
          <w:rFonts w:hint="cs"/>
          <w:spacing w:val="0"/>
          <w:sz w:val="30"/>
          <w:rtl/>
          <w:lang w:eastAsia="en-US"/>
        </w:rPr>
        <w:t>الدورة الثانية والثمانون</w:t>
      </w:r>
    </w:p>
    <w:p w:rsidR="009A6574" w:rsidRDefault="008F0329">
      <w:pPr>
        <w:spacing w:line="380" w:lineRule="exact"/>
        <w:jc w:val="center"/>
        <w:rPr>
          <w:b/>
          <w:bCs/>
          <w:spacing w:val="0"/>
          <w:sz w:val="36"/>
          <w:szCs w:val="36"/>
          <w:rtl/>
        </w:rPr>
      </w:pPr>
      <w:r>
        <w:rPr>
          <w:rFonts w:hint="cs"/>
          <w:b/>
          <w:bCs/>
          <w:spacing w:val="0"/>
          <w:sz w:val="36"/>
          <w:szCs w:val="36"/>
          <w:rtl/>
        </w:rPr>
        <w:t>النظر في التقارير المقدمة من</w:t>
      </w:r>
      <w:r>
        <w:rPr>
          <w:rFonts w:hint="cs"/>
          <w:b/>
          <w:bCs/>
          <w:spacing w:val="0"/>
          <w:sz w:val="36"/>
          <w:szCs w:val="36"/>
          <w:rtl/>
        </w:rPr>
        <w:t xml:space="preserve"> الدول الأطراف</w:t>
      </w:r>
      <w:r>
        <w:rPr>
          <w:b/>
          <w:bCs/>
          <w:spacing w:val="0"/>
          <w:sz w:val="36"/>
          <w:szCs w:val="36"/>
          <w:rtl/>
        </w:rPr>
        <w:br/>
      </w:r>
      <w:r>
        <w:rPr>
          <w:rFonts w:hint="cs"/>
          <w:b/>
          <w:bCs/>
          <w:spacing w:val="0"/>
          <w:sz w:val="36"/>
          <w:szCs w:val="36"/>
          <w:rtl/>
        </w:rPr>
        <w:t>بموجب المادة 40 من العهد</w:t>
      </w:r>
    </w:p>
    <w:p w:rsidR="009A6574" w:rsidRDefault="008F0329">
      <w:pPr>
        <w:spacing w:line="380" w:lineRule="exact"/>
        <w:jc w:val="center"/>
        <w:rPr>
          <w:b/>
          <w:bCs/>
          <w:spacing w:val="0"/>
          <w:rtl/>
        </w:rPr>
      </w:pPr>
      <w:r>
        <w:rPr>
          <w:rFonts w:hint="cs"/>
          <w:b/>
          <w:bCs/>
          <w:spacing w:val="0"/>
          <w:rtl/>
        </w:rPr>
        <w:t>الملاحظات الختامية للجنة المعنية بحقوق الإنسان</w:t>
      </w:r>
    </w:p>
    <w:p w:rsidR="009A6574" w:rsidRDefault="008F0329">
      <w:pPr>
        <w:spacing w:line="380" w:lineRule="exact"/>
        <w:jc w:val="center"/>
        <w:rPr>
          <w:b/>
          <w:bCs/>
          <w:spacing w:val="0"/>
          <w:szCs w:val="36"/>
          <w:rtl/>
        </w:rPr>
      </w:pPr>
      <w:r>
        <w:rPr>
          <w:rFonts w:hint="cs"/>
          <w:b/>
          <w:bCs/>
          <w:spacing w:val="0"/>
          <w:szCs w:val="36"/>
          <w:rtl/>
        </w:rPr>
        <w:t>المغرب</w:t>
      </w:r>
    </w:p>
    <w:p w:rsidR="009A6574" w:rsidRDefault="008F0329">
      <w:pPr>
        <w:spacing w:line="380" w:lineRule="exact"/>
        <w:jc w:val="both"/>
        <w:rPr>
          <w:spacing w:val="0"/>
          <w:rtl/>
        </w:rPr>
      </w:pPr>
      <w:r>
        <w:rPr>
          <w:rFonts w:hint="cs"/>
          <w:spacing w:val="0"/>
          <w:rtl/>
        </w:rPr>
        <w:t>1-</w:t>
      </w:r>
      <w:r>
        <w:rPr>
          <w:rFonts w:hint="cs"/>
          <w:spacing w:val="0"/>
          <w:rtl/>
        </w:rPr>
        <w:tab/>
        <w:t xml:space="preserve">نظرت اللجنة المعنية بحقوق الإنسان في التقرير الدوري الخامس للمغرب </w:t>
      </w:r>
      <w:r>
        <w:rPr>
          <w:spacing w:val="0"/>
        </w:rPr>
        <w:t>(CCPR/C/MAR/2004/5)</w:t>
      </w:r>
      <w:r>
        <w:rPr>
          <w:rFonts w:hint="cs"/>
          <w:spacing w:val="0"/>
          <w:rtl/>
        </w:rPr>
        <w:br/>
        <w:t>في جلساتها 2234 و2235 و2236 (</w:t>
      </w:r>
      <w:r>
        <w:rPr>
          <w:spacing w:val="0"/>
        </w:rPr>
        <w:t>CCPR/C/SR.2234</w:t>
      </w:r>
      <w:r>
        <w:rPr>
          <w:rFonts w:hint="cs"/>
          <w:spacing w:val="0"/>
          <w:rtl/>
        </w:rPr>
        <w:t xml:space="preserve"> و</w:t>
      </w:r>
      <w:r>
        <w:rPr>
          <w:spacing w:val="0"/>
        </w:rPr>
        <w:t>2235</w:t>
      </w:r>
      <w:r>
        <w:rPr>
          <w:rFonts w:hint="cs"/>
          <w:spacing w:val="0"/>
          <w:rtl/>
        </w:rPr>
        <w:t xml:space="preserve"> و</w:t>
      </w:r>
      <w:r>
        <w:rPr>
          <w:spacing w:val="0"/>
        </w:rPr>
        <w:t>2236</w:t>
      </w:r>
      <w:r>
        <w:rPr>
          <w:rFonts w:hint="cs"/>
          <w:spacing w:val="0"/>
          <w:rtl/>
          <w:lang w:val="fr-CH"/>
        </w:rPr>
        <w:t xml:space="preserve">) يومي 25 و26 تشرين الأول/أكتوبر 2004، </w:t>
      </w:r>
      <w:r>
        <w:rPr>
          <w:rFonts w:hint="cs"/>
          <w:spacing w:val="0"/>
          <w:rtl/>
        </w:rPr>
        <w:t>واعتمدت الملاحظات الختامية التالية في جلستها 2249 التي عقدت في 3 تشرين الثاني/نوفمبر 2004</w:t>
      </w:r>
      <w:r>
        <w:rPr>
          <w:spacing w:val="0"/>
          <w:rtl/>
        </w:rPr>
        <w:br/>
      </w:r>
      <w:r>
        <w:rPr>
          <w:rFonts w:hint="cs"/>
          <w:spacing w:val="0"/>
          <w:rtl/>
        </w:rPr>
        <w:t>(</w:t>
      </w:r>
      <w:r>
        <w:rPr>
          <w:spacing w:val="0"/>
        </w:rPr>
        <w:t>CCPR/C/SR.2249</w:t>
      </w:r>
      <w:r>
        <w:rPr>
          <w:rFonts w:hint="cs"/>
          <w:spacing w:val="0"/>
          <w:rtl/>
          <w:lang w:val="fr-CH"/>
        </w:rPr>
        <w:t>)</w:t>
      </w:r>
      <w:r>
        <w:rPr>
          <w:rFonts w:hint="cs"/>
          <w:spacing w:val="0"/>
          <w:rtl/>
        </w:rPr>
        <w:t>.</w:t>
      </w:r>
    </w:p>
    <w:p w:rsidR="009A6574" w:rsidRDefault="008F0329">
      <w:pPr>
        <w:spacing w:line="380" w:lineRule="exact"/>
        <w:jc w:val="center"/>
        <w:rPr>
          <w:b/>
          <w:bCs/>
          <w:spacing w:val="0"/>
          <w:rtl/>
        </w:rPr>
      </w:pPr>
      <w:r>
        <w:rPr>
          <w:rFonts w:hint="cs"/>
          <w:b/>
          <w:bCs/>
          <w:spacing w:val="0"/>
          <w:rtl/>
        </w:rPr>
        <w:t>ألف - مقدمة</w:t>
      </w:r>
    </w:p>
    <w:p w:rsidR="009A6574" w:rsidRDefault="008F0329">
      <w:pPr>
        <w:spacing w:line="380" w:lineRule="exact"/>
        <w:jc w:val="both"/>
        <w:rPr>
          <w:spacing w:val="0"/>
          <w:rtl/>
        </w:rPr>
      </w:pPr>
      <w:r>
        <w:rPr>
          <w:rFonts w:hint="cs"/>
          <w:spacing w:val="0"/>
          <w:rtl/>
        </w:rPr>
        <w:t>2-</w:t>
      </w:r>
      <w:r>
        <w:rPr>
          <w:rFonts w:hint="cs"/>
          <w:spacing w:val="0"/>
          <w:rtl/>
        </w:rPr>
        <w:tab/>
        <w:t>ترحب اللجنة بتقديم التقرير الدوري الخامس للمغرب في موعده (</w:t>
      </w:r>
      <w:r>
        <w:rPr>
          <w:spacing w:val="0"/>
        </w:rPr>
        <w:t>CCPR/C/MAR/2004/5</w:t>
      </w:r>
      <w:r>
        <w:rPr>
          <w:rFonts w:hint="cs"/>
          <w:spacing w:val="0"/>
          <w:rtl/>
          <w:lang w:val="fr-CH"/>
        </w:rPr>
        <w:t>). وتلاحظ باهتمام م</w:t>
      </w:r>
      <w:r>
        <w:rPr>
          <w:rFonts w:hint="cs"/>
          <w:spacing w:val="0"/>
          <w:rtl/>
          <w:lang w:val="fr-CH"/>
        </w:rPr>
        <w:t>ا ورد فيه من معلومات وما قدمه الوفد من توضيحات</w:t>
      </w:r>
      <w:r>
        <w:rPr>
          <w:rFonts w:hint="cs"/>
          <w:spacing w:val="0"/>
          <w:rtl/>
        </w:rPr>
        <w:t xml:space="preserve">. </w:t>
      </w:r>
    </w:p>
    <w:p w:rsidR="009A6574" w:rsidRDefault="008F0329">
      <w:pPr>
        <w:spacing w:line="380" w:lineRule="exact"/>
        <w:jc w:val="center"/>
        <w:rPr>
          <w:b/>
          <w:bCs/>
          <w:spacing w:val="0"/>
          <w:rtl/>
        </w:rPr>
      </w:pPr>
      <w:r>
        <w:rPr>
          <w:rFonts w:hint="cs"/>
          <w:b/>
          <w:bCs/>
          <w:spacing w:val="0"/>
          <w:rtl/>
        </w:rPr>
        <w:t xml:space="preserve">باء </w:t>
      </w:r>
      <w:r>
        <w:rPr>
          <w:b/>
          <w:bCs/>
          <w:spacing w:val="0"/>
          <w:rtl/>
        </w:rPr>
        <w:t>–</w:t>
      </w:r>
      <w:r>
        <w:rPr>
          <w:rFonts w:hint="cs"/>
          <w:b/>
          <w:bCs/>
          <w:spacing w:val="0"/>
          <w:rtl/>
        </w:rPr>
        <w:t xml:space="preserve"> الجوانب الإيجابية</w:t>
      </w:r>
    </w:p>
    <w:p w:rsidR="009A6574" w:rsidRDefault="008F0329">
      <w:pPr>
        <w:spacing w:line="380" w:lineRule="exact"/>
        <w:jc w:val="both"/>
        <w:rPr>
          <w:spacing w:val="0"/>
          <w:rtl/>
        </w:rPr>
      </w:pPr>
      <w:r>
        <w:rPr>
          <w:rFonts w:hint="cs"/>
          <w:spacing w:val="0"/>
          <w:rtl/>
        </w:rPr>
        <w:t>3-</w:t>
      </w:r>
      <w:r>
        <w:rPr>
          <w:rFonts w:hint="cs"/>
          <w:spacing w:val="0"/>
          <w:rtl/>
        </w:rPr>
        <w:tab/>
        <w:t>تحيط اللجنة علماً مع الارتياح بمواصلة المغرب، منذ تقديم التقرير الدوري الرابع (</w:t>
      </w:r>
      <w:r>
        <w:rPr>
          <w:spacing w:val="0"/>
        </w:rPr>
        <w:t>CCPR/C/115/Add.1</w:t>
      </w:r>
      <w:r>
        <w:rPr>
          <w:rFonts w:hint="cs"/>
          <w:spacing w:val="0"/>
          <w:rtl/>
          <w:lang w:val="fr-CH"/>
        </w:rPr>
        <w:t xml:space="preserve">) لإصلاحاته الديمقراطية، وباعتماده لقوانين تشريعية جديدة في هذا الصدد (لا سيما مدونة </w:t>
      </w:r>
      <w:r>
        <w:rPr>
          <w:rFonts w:hint="cs"/>
          <w:spacing w:val="0"/>
          <w:rtl/>
          <w:lang w:val="fr-CH"/>
        </w:rPr>
        <w:t>الأسرة الجديدة)، وإنشائه لديوان المظالم</w:t>
      </w:r>
      <w:r>
        <w:rPr>
          <w:rFonts w:hint="cs"/>
          <w:spacing w:val="0"/>
          <w:rtl/>
        </w:rPr>
        <w:t xml:space="preserve">. </w:t>
      </w:r>
    </w:p>
    <w:p w:rsidR="009A6574" w:rsidRDefault="008F0329">
      <w:pPr>
        <w:spacing w:line="380" w:lineRule="exact"/>
        <w:jc w:val="both"/>
        <w:rPr>
          <w:spacing w:val="0"/>
          <w:rtl/>
        </w:rPr>
      </w:pPr>
      <w:r>
        <w:rPr>
          <w:rFonts w:hint="cs"/>
          <w:spacing w:val="0"/>
          <w:rtl/>
        </w:rPr>
        <w:lastRenderedPageBreak/>
        <w:t>4-</w:t>
      </w:r>
      <w:r>
        <w:rPr>
          <w:rFonts w:hint="cs"/>
          <w:spacing w:val="0"/>
          <w:rtl/>
        </w:rPr>
        <w:tab/>
        <w:t>وتعرب اللجنة عن ارتياحها لالتزام الدولة الطرف بمواصلة الإصلاحات بهدف إعمال الحقوق المنصوص عليها في العهد إعمالاً تاماً، ولعزمها الانضمام إلى البروتوكول الاختياري الملحق بالعهد.</w:t>
      </w:r>
    </w:p>
    <w:p w:rsidR="009A6574" w:rsidRDefault="008F0329">
      <w:pPr>
        <w:spacing w:line="380" w:lineRule="exact"/>
        <w:jc w:val="both"/>
        <w:rPr>
          <w:spacing w:val="0"/>
          <w:rtl/>
        </w:rPr>
      </w:pPr>
      <w:r>
        <w:rPr>
          <w:rFonts w:hint="cs"/>
          <w:spacing w:val="0"/>
          <w:rtl/>
        </w:rPr>
        <w:t>5-</w:t>
      </w:r>
      <w:r>
        <w:rPr>
          <w:rFonts w:hint="cs"/>
          <w:spacing w:val="0"/>
          <w:rtl/>
        </w:rPr>
        <w:tab/>
        <w:t>وترحب اللجنة بما درجت عليه الدو</w:t>
      </w:r>
      <w:r>
        <w:rPr>
          <w:rFonts w:hint="cs"/>
          <w:spacing w:val="0"/>
          <w:rtl/>
        </w:rPr>
        <w:t xml:space="preserve">لة الطرف منذ 1994 من تخفيف لأحكام الإعدام. </w:t>
      </w:r>
    </w:p>
    <w:p w:rsidR="009A6574" w:rsidRDefault="008F0329">
      <w:pPr>
        <w:spacing w:line="380" w:lineRule="exact"/>
        <w:jc w:val="both"/>
        <w:rPr>
          <w:spacing w:val="0"/>
          <w:rtl/>
        </w:rPr>
      </w:pPr>
      <w:r>
        <w:rPr>
          <w:rFonts w:hint="cs"/>
          <w:spacing w:val="0"/>
          <w:rtl/>
        </w:rPr>
        <w:t>6-</w:t>
      </w:r>
      <w:r>
        <w:rPr>
          <w:rFonts w:hint="cs"/>
          <w:spacing w:val="0"/>
          <w:rtl/>
        </w:rPr>
        <w:tab/>
        <w:t>وترحب اللجنة بالقرار الصادر عن المحكمة العليا في المغرب بتاريخ 26 أيلول/سبتمبر 2000 والذي ينص على أن أحكام المادة 11 من العهد التي تحظر الإكراه البدني على عدم احترام التزام تعاقدي تعلو على القانون والممارسة ال</w:t>
      </w:r>
      <w:r>
        <w:rPr>
          <w:rFonts w:hint="cs"/>
          <w:spacing w:val="0"/>
          <w:rtl/>
        </w:rPr>
        <w:t>وطنيين. وتلاحظ اللجنة باهتمام مضمون الرسالة الصادرة في 7 نيسان/أبريل 2003 والتي يطلب فيها وزير العدل، بالإشارة إلى القرار الصادر عن المحكمة العليا المذكور أعلاه، إلى الوكلاء العامين لدى محاكم الاستئناف والمحاكم الابتدائية أن يطبقوا أحكام المادة 11 من العهد</w:t>
      </w:r>
      <w:r>
        <w:rPr>
          <w:rFonts w:hint="cs"/>
          <w:spacing w:val="0"/>
          <w:rtl/>
        </w:rPr>
        <w:t xml:space="preserve"> وأن يحيلوا إلى المحاكم جميع قضايا الأشخاص الذين يقضون عقوبة من هذا القبيل.</w:t>
      </w:r>
    </w:p>
    <w:p w:rsidR="009A6574" w:rsidRDefault="008F0329">
      <w:pPr>
        <w:spacing w:line="380" w:lineRule="exact"/>
        <w:jc w:val="both"/>
        <w:rPr>
          <w:spacing w:val="0"/>
          <w:rtl/>
        </w:rPr>
      </w:pPr>
      <w:r>
        <w:rPr>
          <w:rFonts w:hint="cs"/>
          <w:spacing w:val="0"/>
          <w:rtl/>
        </w:rPr>
        <w:t>7-</w:t>
      </w:r>
      <w:r>
        <w:rPr>
          <w:rFonts w:hint="cs"/>
          <w:spacing w:val="0"/>
          <w:rtl/>
        </w:rPr>
        <w:tab/>
        <w:t>وتلاحظ اللجنة بارتياح وجود شبكة متطورة من المنظمات غير الحكومية للدفاع عن حقوق الإنسان وتعزيزها في البلد.</w:t>
      </w:r>
    </w:p>
    <w:p w:rsidR="009A6574" w:rsidRDefault="008F0329">
      <w:pPr>
        <w:spacing w:line="380" w:lineRule="exact"/>
        <w:jc w:val="center"/>
        <w:rPr>
          <w:b/>
          <w:bCs/>
          <w:spacing w:val="0"/>
          <w:rtl/>
        </w:rPr>
      </w:pPr>
      <w:r>
        <w:rPr>
          <w:rFonts w:hint="cs"/>
          <w:b/>
          <w:bCs/>
          <w:spacing w:val="0"/>
          <w:rtl/>
        </w:rPr>
        <w:t xml:space="preserve">جيم </w:t>
      </w:r>
      <w:r>
        <w:rPr>
          <w:b/>
          <w:bCs/>
          <w:spacing w:val="0"/>
          <w:rtl/>
        </w:rPr>
        <w:t>–</w:t>
      </w:r>
      <w:r>
        <w:rPr>
          <w:rFonts w:hint="cs"/>
          <w:b/>
          <w:bCs/>
          <w:spacing w:val="0"/>
          <w:rtl/>
        </w:rPr>
        <w:t xml:space="preserve"> دواعي القلق الرئيسية والتوصيات</w:t>
      </w:r>
    </w:p>
    <w:p w:rsidR="009A6574" w:rsidRDefault="008F0329">
      <w:pPr>
        <w:spacing w:line="380" w:lineRule="exact"/>
        <w:jc w:val="both"/>
        <w:rPr>
          <w:spacing w:val="0"/>
          <w:rtl/>
        </w:rPr>
      </w:pPr>
      <w:r>
        <w:rPr>
          <w:rFonts w:hint="cs"/>
          <w:spacing w:val="0"/>
          <w:rtl/>
        </w:rPr>
        <w:t>8-</w:t>
      </w:r>
      <w:r>
        <w:rPr>
          <w:rFonts w:hint="cs"/>
          <w:spacing w:val="0"/>
          <w:rtl/>
        </w:rPr>
        <w:tab/>
        <w:t>تظل اللجنة قلقة لعدم إحراز تقدم</w:t>
      </w:r>
      <w:r>
        <w:rPr>
          <w:rFonts w:hint="cs"/>
          <w:spacing w:val="0"/>
          <w:rtl/>
        </w:rPr>
        <w:t xml:space="preserve"> في مسألة تطبيق حق شعب الصحراء الغربية في تقرير مصيره (المادة 1 </w:t>
      </w:r>
      <w:r>
        <w:rPr>
          <w:spacing w:val="0"/>
          <w:rtl/>
        </w:rPr>
        <w:br/>
      </w:r>
      <w:r>
        <w:rPr>
          <w:rFonts w:hint="cs"/>
          <w:spacing w:val="0"/>
          <w:rtl/>
        </w:rPr>
        <w:t>من العهد).</w:t>
      </w:r>
    </w:p>
    <w:p w:rsidR="009A6574" w:rsidRDefault="008F0329">
      <w:pPr>
        <w:spacing w:line="380" w:lineRule="exact"/>
        <w:ind w:left="535"/>
        <w:jc w:val="both"/>
        <w:rPr>
          <w:b/>
          <w:bCs/>
          <w:spacing w:val="0"/>
          <w:rtl/>
        </w:rPr>
      </w:pPr>
      <w:r>
        <w:rPr>
          <w:rFonts w:hint="cs"/>
          <w:b/>
          <w:bCs/>
          <w:spacing w:val="0"/>
          <w:rtl/>
        </w:rPr>
        <w:t>ينبغي للدولة الطرف أن تبذل كل جهودها من أجل تمكين السكان المعنيين من التمتع بالحقوق المعترف بها في العهد تمتعاً كاملاً.</w:t>
      </w:r>
    </w:p>
    <w:p w:rsidR="009A6574" w:rsidRDefault="008F0329">
      <w:pPr>
        <w:spacing w:line="380" w:lineRule="exact"/>
        <w:jc w:val="both"/>
        <w:rPr>
          <w:spacing w:val="0"/>
          <w:rtl/>
        </w:rPr>
      </w:pPr>
      <w:r>
        <w:rPr>
          <w:rFonts w:hint="cs"/>
          <w:spacing w:val="0"/>
          <w:rtl/>
        </w:rPr>
        <w:t>9-</w:t>
      </w:r>
      <w:r>
        <w:rPr>
          <w:rFonts w:hint="cs"/>
          <w:spacing w:val="0"/>
          <w:rtl/>
        </w:rPr>
        <w:tab/>
        <w:t>تأسف اللجنة لغياب بيانات ملموسة بشأن الحالات المعروضة على</w:t>
      </w:r>
      <w:r>
        <w:rPr>
          <w:rFonts w:hint="cs"/>
          <w:spacing w:val="0"/>
          <w:rtl/>
        </w:rPr>
        <w:t xml:space="preserve"> إدارة ديوان المظالم.</w:t>
      </w:r>
    </w:p>
    <w:p w:rsidR="009A6574" w:rsidRDefault="008F0329">
      <w:pPr>
        <w:spacing w:line="380" w:lineRule="exact"/>
        <w:ind w:left="535"/>
        <w:jc w:val="both"/>
        <w:rPr>
          <w:b/>
          <w:bCs/>
          <w:spacing w:val="0"/>
          <w:rtl/>
        </w:rPr>
      </w:pPr>
      <w:r>
        <w:rPr>
          <w:rFonts w:hint="cs"/>
          <w:b/>
          <w:bCs/>
          <w:spacing w:val="0"/>
          <w:rtl/>
        </w:rPr>
        <w:t>ينبغي للدولة الطرف أن تقدم بيانات إحصائية بشأن عمل ديوان المظالم.</w:t>
      </w:r>
    </w:p>
    <w:p w:rsidR="009A6574" w:rsidRDefault="008F0329">
      <w:pPr>
        <w:spacing w:line="380" w:lineRule="exact"/>
        <w:jc w:val="both"/>
        <w:rPr>
          <w:spacing w:val="0"/>
          <w:rtl/>
        </w:rPr>
      </w:pPr>
      <w:r>
        <w:rPr>
          <w:rFonts w:hint="cs"/>
          <w:spacing w:val="0"/>
          <w:rtl/>
        </w:rPr>
        <w:t>10-</w:t>
      </w:r>
      <w:r>
        <w:rPr>
          <w:rFonts w:hint="cs"/>
          <w:spacing w:val="0"/>
          <w:rtl/>
        </w:rPr>
        <w:tab/>
        <w:t xml:space="preserve">تعرب اللجنة عن قلقها لكون التشريع المغربي يظل غامضاً بشأن حالة الاستثناء، ولا يوضح ولا يحدد الحالات التي يمكن الخروج فيها عن أحكام العهد في حالة وجود خطر استثنائي، </w:t>
      </w:r>
      <w:r>
        <w:rPr>
          <w:rFonts w:hint="cs"/>
          <w:spacing w:val="0"/>
          <w:rtl/>
        </w:rPr>
        <w:t>ولا يضمن تطبيق أحكام المادة 4 من العهد.</w:t>
      </w:r>
    </w:p>
    <w:p w:rsidR="009A6574" w:rsidRDefault="008F0329">
      <w:pPr>
        <w:spacing w:line="380" w:lineRule="exact"/>
        <w:ind w:left="535"/>
        <w:jc w:val="both"/>
        <w:rPr>
          <w:b/>
          <w:bCs/>
          <w:spacing w:val="0"/>
          <w:rtl/>
        </w:rPr>
      </w:pPr>
      <w:r>
        <w:rPr>
          <w:rFonts w:hint="cs"/>
          <w:b/>
          <w:bCs/>
          <w:spacing w:val="0"/>
          <w:rtl/>
        </w:rPr>
        <w:t>على الدولة الطرف أن تعيد النظر في الأحكام المعنية من تشريعها من أجل جعلها في تطابق تام مع أحكام المادة 4 من العهد.</w:t>
      </w:r>
    </w:p>
    <w:p w:rsidR="009A6574" w:rsidRDefault="008F0329">
      <w:pPr>
        <w:spacing w:line="380" w:lineRule="exact"/>
        <w:jc w:val="both"/>
        <w:rPr>
          <w:spacing w:val="0"/>
          <w:rtl/>
        </w:rPr>
      </w:pPr>
      <w:r>
        <w:rPr>
          <w:rFonts w:hint="cs"/>
          <w:spacing w:val="0"/>
          <w:rtl/>
        </w:rPr>
        <w:t>11-</w:t>
      </w:r>
      <w:r>
        <w:rPr>
          <w:rFonts w:hint="cs"/>
          <w:spacing w:val="0"/>
          <w:rtl/>
        </w:rPr>
        <w:tab/>
        <w:t>تعرب اللجنة عن قلقها لكون عدد الجرائم المعاقب عليها بالإعدام قد زاد منذ النظر في التقرير الدوري ا</w:t>
      </w:r>
      <w:r>
        <w:rPr>
          <w:rFonts w:hint="cs"/>
          <w:spacing w:val="0"/>
          <w:rtl/>
        </w:rPr>
        <w:t>لأخير رغم أن أي حكم بالإعدام لم يُنفذ منذ 1994 وأن عدداً كبيراً من المحكوم عليهم بالإعدام قد خُففت أحكامهم (المادة 6 من العهد).</w:t>
      </w:r>
    </w:p>
    <w:p w:rsidR="009A6574" w:rsidRDefault="008F0329">
      <w:pPr>
        <w:spacing w:line="380" w:lineRule="exact"/>
        <w:ind w:left="535"/>
        <w:jc w:val="both"/>
        <w:rPr>
          <w:b/>
          <w:bCs/>
          <w:spacing w:val="0"/>
          <w:rtl/>
        </w:rPr>
      </w:pPr>
      <w:r>
        <w:rPr>
          <w:rFonts w:hint="cs"/>
          <w:b/>
          <w:bCs/>
          <w:spacing w:val="0"/>
          <w:rtl/>
        </w:rPr>
        <w:t xml:space="preserve">وفقاً لأحكام المادة 6 من العهد، ينبغي للدولة الطرف أن تخفض عدد الجرائم المعاقب عليها بالإعدام إلى الحد الأدنى، بهدف إلغاء عقوبة </w:t>
      </w:r>
      <w:r>
        <w:rPr>
          <w:rFonts w:hint="cs"/>
          <w:b/>
          <w:bCs/>
          <w:spacing w:val="0"/>
          <w:rtl/>
        </w:rPr>
        <w:t>الإعدام. وينبغي للدولة الطرف أيضاً أن تخفف عقوبة جميع الأشخاص المحكوم عليهم بالإعدام.</w:t>
      </w:r>
    </w:p>
    <w:p w:rsidR="009A6574" w:rsidRDefault="008F0329">
      <w:pPr>
        <w:spacing w:line="380" w:lineRule="exact"/>
        <w:jc w:val="both"/>
        <w:rPr>
          <w:spacing w:val="0"/>
          <w:rtl/>
        </w:rPr>
      </w:pPr>
      <w:r>
        <w:rPr>
          <w:rFonts w:hint="cs"/>
          <w:spacing w:val="0"/>
          <w:rtl/>
        </w:rPr>
        <w:lastRenderedPageBreak/>
        <w:t>12-</w:t>
      </w:r>
      <w:r>
        <w:rPr>
          <w:rFonts w:hint="cs"/>
          <w:spacing w:val="0"/>
          <w:rtl/>
        </w:rPr>
        <w:tab/>
        <w:t>مع الاعتراف بالعمل الذي أنجزه المجلس الاستشاري لحقوق الإنسان في جمع المعلومات ودفع التعويضات المتعلقة بمسألة المختفين، تعرب اللجنة عن قلقها لكون المسؤولين عن حالات ال</w:t>
      </w:r>
      <w:r>
        <w:rPr>
          <w:rFonts w:hint="cs"/>
          <w:spacing w:val="0"/>
          <w:rtl/>
        </w:rPr>
        <w:t>اختفاء هذه لم تكشف هويتهم بعد ولم يحاكموا أو يعاقبوا (المادتان 6 و7 من العهد).</w:t>
      </w:r>
    </w:p>
    <w:p w:rsidR="009A6574" w:rsidRDefault="008F0329">
      <w:pPr>
        <w:spacing w:line="380" w:lineRule="exact"/>
        <w:ind w:left="535"/>
        <w:jc w:val="both"/>
        <w:rPr>
          <w:b/>
          <w:bCs/>
          <w:spacing w:val="0"/>
          <w:rtl/>
        </w:rPr>
      </w:pPr>
      <w:r>
        <w:rPr>
          <w:rFonts w:hint="cs"/>
          <w:b/>
          <w:bCs/>
          <w:spacing w:val="0"/>
          <w:rtl/>
        </w:rPr>
        <w:t>ينبغي للدولة الطرف أن تشرع في إجراء التحقيقات اللازمة من أجل كشف المسؤولين عن هذه الجرائم ومحاكمتهم ومعاقبتهم (المادتان 6 و7 من العهد).</w:t>
      </w:r>
    </w:p>
    <w:p w:rsidR="009A6574" w:rsidRDefault="008F0329">
      <w:pPr>
        <w:spacing w:line="380" w:lineRule="exact"/>
        <w:ind w:left="-5"/>
        <w:jc w:val="both"/>
        <w:rPr>
          <w:spacing w:val="0"/>
          <w:rtl/>
        </w:rPr>
      </w:pPr>
      <w:r>
        <w:rPr>
          <w:rFonts w:hint="cs"/>
          <w:spacing w:val="0"/>
          <w:rtl/>
        </w:rPr>
        <w:t>13-</w:t>
      </w:r>
      <w:r>
        <w:rPr>
          <w:rFonts w:hint="cs"/>
          <w:spacing w:val="0"/>
          <w:rtl/>
        </w:rPr>
        <w:tab/>
        <w:t>تعرب اللجنة عن قلقها لكون المادة 26 م</w:t>
      </w:r>
      <w:r>
        <w:rPr>
          <w:rFonts w:hint="cs"/>
          <w:spacing w:val="0"/>
          <w:rtl/>
        </w:rPr>
        <w:t>ن القانون الجديد المتعلق بإقامة الأجانب تجيز عدم التأخر في طرد أي أجنبي يعد خطراً على أمن الدولة، حتى وإن كان من المحتمل أن يتعرض إلى التعذيب أو إساءة المعاملة بل إلى الإعدام في بلد الاستقبال.</w:t>
      </w:r>
    </w:p>
    <w:p w:rsidR="009A6574" w:rsidRDefault="008F0329">
      <w:pPr>
        <w:spacing w:line="380" w:lineRule="exact"/>
        <w:ind w:left="535"/>
        <w:jc w:val="both"/>
        <w:rPr>
          <w:b/>
          <w:bCs/>
          <w:spacing w:val="0"/>
          <w:rtl/>
        </w:rPr>
      </w:pPr>
      <w:r>
        <w:rPr>
          <w:rFonts w:hint="cs"/>
          <w:b/>
          <w:bCs/>
          <w:spacing w:val="0"/>
          <w:rtl/>
        </w:rPr>
        <w:t>ينبغي للدولة الطرف أن تضع نظاماً يتيح لأي أجنبي يدعي أن طرده قد</w:t>
      </w:r>
      <w:r>
        <w:rPr>
          <w:rFonts w:hint="cs"/>
          <w:b/>
          <w:bCs/>
          <w:spacing w:val="0"/>
          <w:rtl/>
        </w:rPr>
        <w:t xml:space="preserve"> يعرضه إلى التعذيب أو إساءة المعاملة أو إلى الإعدام أن يتقدم بطعن يعلق قرارَ طرده (المواد 6 و7 و10 من العهد).</w:t>
      </w:r>
    </w:p>
    <w:p w:rsidR="009A6574" w:rsidRDefault="008F0329">
      <w:pPr>
        <w:spacing w:line="380" w:lineRule="exact"/>
        <w:ind w:left="-5"/>
        <w:jc w:val="both"/>
        <w:rPr>
          <w:spacing w:val="0"/>
          <w:rtl/>
        </w:rPr>
      </w:pPr>
      <w:r>
        <w:rPr>
          <w:rFonts w:hint="cs"/>
          <w:spacing w:val="0"/>
          <w:rtl/>
        </w:rPr>
        <w:t>14-</w:t>
      </w:r>
      <w:r>
        <w:rPr>
          <w:rFonts w:hint="cs"/>
          <w:spacing w:val="0"/>
          <w:rtl/>
        </w:rPr>
        <w:tab/>
        <w:t>تظل اللجنة قلقة إزاء كثرة الادعاءات بتعذيب المعتقلين وإساءة معاملتهم وكون الموظفين المسؤولين عن هذه الأفعال لا يُحملون عموماً سوى المسؤولية ال</w:t>
      </w:r>
      <w:r>
        <w:rPr>
          <w:rFonts w:hint="cs"/>
          <w:spacing w:val="0"/>
          <w:rtl/>
        </w:rPr>
        <w:t xml:space="preserve">تأديبية إن كانت هناك عقوبة. وفي هذا السياق، تلاحظ اللجنة بقلق غياب تحقيقات مستقلة في مخافر الشرطة وغيرها من أماكن الاعتقال، حتى يتم التأكد من عدم وجود التعذيب وإساءة المعاملة. </w:t>
      </w:r>
    </w:p>
    <w:p w:rsidR="009A6574" w:rsidRDefault="008F0329">
      <w:pPr>
        <w:spacing w:line="380" w:lineRule="exact"/>
        <w:ind w:left="535"/>
        <w:jc w:val="both"/>
        <w:rPr>
          <w:b/>
          <w:bCs/>
          <w:spacing w:val="0"/>
          <w:rtl/>
        </w:rPr>
      </w:pPr>
      <w:r>
        <w:rPr>
          <w:rFonts w:hint="cs"/>
          <w:b/>
          <w:bCs/>
          <w:spacing w:val="0"/>
          <w:rtl/>
        </w:rPr>
        <w:t xml:space="preserve">ينبغي للدولة الطرف أن تعمل على أن يتم التحقيق في شكاوى التعذيب و/أو إساءة </w:t>
      </w:r>
      <w:r>
        <w:rPr>
          <w:rFonts w:hint="cs"/>
          <w:b/>
          <w:bCs/>
          <w:spacing w:val="0"/>
          <w:rtl/>
        </w:rPr>
        <w:t>المعاملة فوراً وبصورة مستقلة. وينبغي للسلطات المختصة أن تنظر بشكل معمق في الاستنتاجات التي يخلص إليها هذا التحقيق حتى يتسنى معاقبة المسؤولين عنها تأديبياً وحتى جنائياً أيضاً. وينبغي إخضاع جميع أماكن الاعتقال إلى تفتيش مستقل (المادتان 7 و10 من العهد).</w:t>
      </w:r>
    </w:p>
    <w:p w:rsidR="009A6574" w:rsidRDefault="008F0329">
      <w:pPr>
        <w:spacing w:line="380" w:lineRule="exact"/>
        <w:ind w:left="-5"/>
        <w:jc w:val="both"/>
        <w:rPr>
          <w:spacing w:val="0"/>
          <w:rtl/>
        </w:rPr>
      </w:pPr>
      <w:r>
        <w:rPr>
          <w:rFonts w:hint="cs"/>
          <w:spacing w:val="0"/>
          <w:rtl/>
        </w:rPr>
        <w:t>15-</w:t>
      </w:r>
      <w:r>
        <w:rPr>
          <w:rFonts w:hint="cs"/>
          <w:spacing w:val="0"/>
          <w:rtl/>
        </w:rPr>
        <w:tab/>
        <w:t>ت</w:t>
      </w:r>
      <w:r>
        <w:rPr>
          <w:rFonts w:hint="cs"/>
          <w:spacing w:val="0"/>
          <w:rtl/>
        </w:rPr>
        <w:t>رى اللجنة أن فترة الحجز الاحتياطي مفرطة - 48 ساعة (قابلة للتجديد مرة واحدة) بالنسبة للجرائم العادية و96 ساعة (قابلة للتجديد مرتين) بالنسبة للجرائم المرتبطة بالإرهاب -، وهي فترة قد يُعتقل فيها مشتبه فيه دون عرضه على قاض.</w:t>
      </w:r>
    </w:p>
    <w:p w:rsidR="009A6574" w:rsidRDefault="008F0329">
      <w:pPr>
        <w:spacing w:line="380" w:lineRule="exact"/>
        <w:ind w:left="714" w:hanging="720"/>
        <w:jc w:val="both"/>
        <w:rPr>
          <w:b/>
          <w:bCs/>
          <w:spacing w:val="0"/>
          <w:rtl/>
        </w:rPr>
      </w:pPr>
      <w:r>
        <w:rPr>
          <w:rFonts w:hint="cs"/>
          <w:b/>
          <w:bCs/>
          <w:spacing w:val="0"/>
          <w:rtl/>
        </w:rPr>
        <w:tab/>
        <w:t>ينبغي للدولة الطرف أن تعيد النظر في</w:t>
      </w:r>
      <w:r>
        <w:rPr>
          <w:rFonts w:hint="cs"/>
          <w:b/>
          <w:bCs/>
          <w:spacing w:val="0"/>
          <w:rtl/>
        </w:rPr>
        <w:t xml:space="preserve"> تشريعها فيما يتعلق بالحجز الاحتياطي وأن تجعله وفقا لأحكام المادة 9 وجميع الأحكام الأخرى للعهد.</w:t>
      </w:r>
    </w:p>
    <w:p w:rsidR="009A6574" w:rsidRDefault="008F0329">
      <w:pPr>
        <w:spacing w:line="380" w:lineRule="exact"/>
        <w:ind w:left="-5"/>
        <w:jc w:val="both"/>
        <w:rPr>
          <w:spacing w:val="0"/>
          <w:rtl/>
        </w:rPr>
      </w:pPr>
      <w:r>
        <w:rPr>
          <w:rFonts w:hint="cs"/>
          <w:spacing w:val="0"/>
          <w:rtl/>
        </w:rPr>
        <w:t>16-</w:t>
      </w:r>
      <w:r>
        <w:rPr>
          <w:rFonts w:hint="cs"/>
          <w:spacing w:val="0"/>
          <w:rtl/>
        </w:rPr>
        <w:tab/>
        <w:t>تعرب اللجنة عن قلقها لكون المحتجزين لا يستطيعون الاستفادة من خدمات محام إلا بعد تمديد فترة احتجازهم (أي بعد 48 ساعة أو 96 ساعة). وتذكر اللجنة بآرائها السابق</w:t>
      </w:r>
      <w:r>
        <w:rPr>
          <w:rFonts w:hint="cs"/>
          <w:spacing w:val="0"/>
          <w:rtl/>
        </w:rPr>
        <w:t>ة، خاصة فيما يتعلق بالقضايا التي يكون فيها الشخص معرضاً للحكم عليه بالإعدام، حيث يجب أن يستفيد هذا الشخص من مساعدة فعلية لمحام طيلة مراحل الإجراء.</w:t>
      </w:r>
    </w:p>
    <w:p w:rsidR="009A6574" w:rsidRDefault="008F0329">
      <w:pPr>
        <w:spacing w:line="380" w:lineRule="exact"/>
        <w:ind w:left="535"/>
        <w:jc w:val="both"/>
        <w:rPr>
          <w:b/>
          <w:bCs/>
          <w:spacing w:val="0"/>
          <w:rtl/>
        </w:rPr>
      </w:pPr>
      <w:r>
        <w:rPr>
          <w:rFonts w:hint="cs"/>
          <w:b/>
          <w:bCs/>
          <w:spacing w:val="0"/>
          <w:rtl/>
        </w:rPr>
        <w:t>ينبغي للدولة الطرف أن تعدل تشريعها وممارستها حتى تتيح للشخص المعتقل سبيلاً للاستعانة بمحام فور احتجازه احتياط</w:t>
      </w:r>
      <w:r>
        <w:rPr>
          <w:rFonts w:hint="cs"/>
          <w:b/>
          <w:bCs/>
          <w:spacing w:val="0"/>
          <w:rtl/>
        </w:rPr>
        <w:t>ياً (المواد 6 و7 و9 و10 و14 من العهد).</w:t>
      </w:r>
    </w:p>
    <w:p w:rsidR="009A6574" w:rsidRDefault="008F0329">
      <w:pPr>
        <w:spacing w:line="380" w:lineRule="exact"/>
        <w:ind w:left="-5"/>
        <w:jc w:val="both"/>
        <w:rPr>
          <w:spacing w:val="0"/>
          <w:rtl/>
        </w:rPr>
      </w:pPr>
      <w:r>
        <w:rPr>
          <w:rFonts w:hint="cs"/>
          <w:spacing w:val="0"/>
          <w:rtl/>
        </w:rPr>
        <w:lastRenderedPageBreak/>
        <w:t>17-</w:t>
      </w:r>
      <w:r>
        <w:rPr>
          <w:rFonts w:hint="cs"/>
          <w:spacing w:val="0"/>
          <w:rtl/>
        </w:rPr>
        <w:tab/>
        <w:t>تظل اللجنة قلقة إزاء التقارير المتعلقة بسوء ظروف الاعتقال في السجون لا سيما عدم كفاية الرعاية الطبية، وغياب برامج للتثقيف وإعادة الإدماج وعدم وجود أماكن مخصصة للزيارة (المادتان 7 و10 من العهد).</w:t>
      </w:r>
    </w:p>
    <w:p w:rsidR="009A6574" w:rsidRDefault="008F0329">
      <w:pPr>
        <w:spacing w:line="380" w:lineRule="exact"/>
        <w:ind w:left="535"/>
        <w:jc w:val="both"/>
        <w:rPr>
          <w:b/>
          <w:bCs/>
          <w:spacing w:val="0"/>
          <w:rtl/>
        </w:rPr>
      </w:pPr>
      <w:r>
        <w:rPr>
          <w:rFonts w:hint="cs"/>
          <w:b/>
          <w:bCs/>
          <w:spacing w:val="0"/>
          <w:rtl/>
        </w:rPr>
        <w:t xml:space="preserve">ينبغي للدولة الطرف </w:t>
      </w:r>
      <w:r>
        <w:rPr>
          <w:rFonts w:hint="cs"/>
          <w:b/>
          <w:bCs/>
          <w:spacing w:val="0"/>
          <w:rtl/>
        </w:rPr>
        <w:t>أن تجعل ظروف الاعتقال متمشية مع أحكام المادة 10 من العهد وأن تُحدث</w:t>
      </w:r>
      <w:r>
        <w:rPr>
          <w:b/>
          <w:bCs/>
          <w:spacing w:val="0"/>
          <w:rtl/>
        </w:rPr>
        <w:br/>
      </w:r>
      <w:r>
        <w:rPr>
          <w:rFonts w:hint="cs"/>
          <w:b/>
          <w:bCs/>
          <w:spacing w:val="0"/>
          <w:rtl/>
        </w:rPr>
        <w:t>عقوبات بديلة.</w:t>
      </w:r>
    </w:p>
    <w:p w:rsidR="009A6574" w:rsidRDefault="008F0329">
      <w:pPr>
        <w:spacing w:line="380" w:lineRule="exact"/>
        <w:ind w:left="-5"/>
        <w:jc w:val="both"/>
        <w:rPr>
          <w:spacing w:val="0"/>
          <w:rtl/>
        </w:rPr>
      </w:pPr>
      <w:r>
        <w:rPr>
          <w:rFonts w:hint="cs"/>
          <w:spacing w:val="0"/>
          <w:rtl/>
        </w:rPr>
        <w:t>18-</w:t>
      </w:r>
      <w:r>
        <w:rPr>
          <w:rFonts w:hint="cs"/>
          <w:spacing w:val="0"/>
          <w:rtl/>
        </w:rPr>
        <w:tab/>
        <w:t xml:space="preserve">تعرب اللجنة عن قلقها لمصادرة جوازات السفر لبعض ممثلي المنظمات غير الحكومية، مما حال دون مشاركتهم في اجتماع للمنظمات غير الحكومية بشأن مسألة الصحراء الغربية بمناسبة الدورة </w:t>
      </w:r>
      <w:r>
        <w:rPr>
          <w:rFonts w:hint="cs"/>
          <w:spacing w:val="0"/>
          <w:rtl/>
        </w:rPr>
        <w:t>التاسعة والخمسين للجنة حقوق الإنسان في جنيف (المادتان 12 و19 من العهد).</w:t>
      </w:r>
    </w:p>
    <w:p w:rsidR="009A6574" w:rsidRDefault="008F0329">
      <w:pPr>
        <w:spacing w:line="380" w:lineRule="exact"/>
        <w:ind w:left="535"/>
        <w:jc w:val="both"/>
        <w:rPr>
          <w:b/>
          <w:bCs/>
          <w:spacing w:val="0"/>
          <w:rtl/>
        </w:rPr>
      </w:pPr>
      <w:r>
        <w:rPr>
          <w:rFonts w:hint="cs"/>
          <w:b/>
          <w:bCs/>
          <w:spacing w:val="0"/>
          <w:rtl/>
        </w:rPr>
        <w:t>ينبغي للدولة الطرف أن تطبق أحكام المادة 12 من العهد على جميع رعاياها.</w:t>
      </w:r>
    </w:p>
    <w:p w:rsidR="009A6574" w:rsidRDefault="008F0329">
      <w:pPr>
        <w:spacing w:line="380" w:lineRule="exact"/>
        <w:ind w:left="-5"/>
        <w:jc w:val="both"/>
        <w:rPr>
          <w:spacing w:val="0"/>
          <w:rtl/>
        </w:rPr>
      </w:pPr>
      <w:r>
        <w:rPr>
          <w:rFonts w:hint="cs"/>
          <w:spacing w:val="0"/>
          <w:rtl/>
        </w:rPr>
        <w:t>19-</w:t>
      </w:r>
      <w:r>
        <w:rPr>
          <w:rFonts w:hint="cs"/>
          <w:spacing w:val="0"/>
          <w:rtl/>
        </w:rPr>
        <w:tab/>
        <w:t>تظل اللجنة قلقة لكون استقلالية القضاء غير مضمونة بشكل تام.</w:t>
      </w:r>
    </w:p>
    <w:p w:rsidR="009A6574" w:rsidRDefault="008F0329">
      <w:pPr>
        <w:spacing w:line="380" w:lineRule="exact"/>
        <w:ind w:left="535"/>
        <w:jc w:val="both"/>
        <w:rPr>
          <w:b/>
          <w:bCs/>
          <w:spacing w:val="0"/>
          <w:rtl/>
        </w:rPr>
      </w:pPr>
      <w:r>
        <w:rPr>
          <w:rFonts w:hint="cs"/>
          <w:b/>
          <w:bCs/>
          <w:spacing w:val="0"/>
          <w:rtl/>
        </w:rPr>
        <w:t xml:space="preserve">ينبغي للدولة الطرف أن تتخذ الإجراءات اللازمة لضمان </w:t>
      </w:r>
      <w:r>
        <w:rPr>
          <w:rFonts w:hint="cs"/>
          <w:b/>
          <w:bCs/>
          <w:spacing w:val="0"/>
          <w:rtl/>
        </w:rPr>
        <w:t>استقلالية القضاء ونزاهته (الفقرة 1 من المادة 14 من العهد).</w:t>
      </w:r>
    </w:p>
    <w:p w:rsidR="009A6574" w:rsidRDefault="008F0329">
      <w:pPr>
        <w:spacing w:line="380" w:lineRule="exact"/>
        <w:ind w:left="-5"/>
        <w:jc w:val="both"/>
        <w:rPr>
          <w:spacing w:val="0"/>
          <w:rtl/>
        </w:rPr>
      </w:pPr>
      <w:r>
        <w:rPr>
          <w:rFonts w:hint="cs"/>
          <w:spacing w:val="0"/>
          <w:rtl/>
        </w:rPr>
        <w:t>20-</w:t>
      </w:r>
      <w:r>
        <w:rPr>
          <w:rFonts w:hint="cs"/>
          <w:spacing w:val="0"/>
          <w:rtl/>
        </w:rPr>
        <w:tab/>
        <w:t>تعرب اللجنة عن قلقها لكون القانون الجنائي يصف "كل انتهاك جسيم مصحوب بعنف" على أنه يشكل عملاً إرهابياً. واللجنة قلقة أيضاً لورود معلومات عديدة تفيد بأن قانون مكافحة الإرهاب الذي اعتمد في 28 أيار</w:t>
      </w:r>
      <w:r>
        <w:rPr>
          <w:rFonts w:hint="cs"/>
          <w:spacing w:val="0"/>
          <w:rtl/>
        </w:rPr>
        <w:t>/مايو 2003 يُطبَّق بأثر رجعي.</w:t>
      </w:r>
    </w:p>
    <w:p w:rsidR="009A6574" w:rsidRDefault="008F0329">
      <w:pPr>
        <w:spacing w:line="380" w:lineRule="exact"/>
        <w:ind w:left="535"/>
        <w:jc w:val="both"/>
        <w:rPr>
          <w:b/>
          <w:bCs/>
          <w:spacing w:val="0"/>
          <w:rtl/>
        </w:rPr>
      </w:pPr>
      <w:r>
        <w:rPr>
          <w:rFonts w:hint="cs"/>
          <w:b/>
          <w:bCs/>
          <w:spacing w:val="0"/>
          <w:rtl/>
        </w:rPr>
        <w:t>لمعالجة مشكلة عدم وجود أمن قضائي، توصي اللجنة الدولة الطرف بتعديل القانون المعني من خلال تحديد نطاقه بشكل واضح، وعليها أن تعمل على احترام أحكام المادة 15 وجميع الأحكام الأخرى للعهد.</w:t>
      </w:r>
    </w:p>
    <w:p w:rsidR="009A6574" w:rsidRDefault="008F0329">
      <w:pPr>
        <w:spacing w:line="380" w:lineRule="exact"/>
        <w:ind w:left="-5"/>
        <w:jc w:val="both"/>
        <w:rPr>
          <w:spacing w:val="0"/>
          <w:rtl/>
        </w:rPr>
      </w:pPr>
      <w:r>
        <w:rPr>
          <w:rFonts w:hint="cs"/>
          <w:spacing w:val="0"/>
          <w:rtl/>
        </w:rPr>
        <w:t>21-</w:t>
      </w:r>
      <w:r>
        <w:rPr>
          <w:rFonts w:hint="cs"/>
          <w:spacing w:val="0"/>
          <w:rtl/>
        </w:rPr>
        <w:tab/>
        <w:t>تعرب اللجنة عن قلقها إزاء القيود المفروض</w:t>
      </w:r>
      <w:r>
        <w:rPr>
          <w:rFonts w:hint="cs"/>
          <w:spacing w:val="0"/>
          <w:rtl/>
        </w:rPr>
        <w:t>ة على حرية الدين أو المعتقد، لا سيما استحالة تغيير المسلم لدينه في الواقع. وتشير اللجنة إلى أن المادة 18 من العهد تحمي جميع الأديان والمعتقدات، القديم منها وغير القديم، والكبير منها والصغير، وتتضمن الحق في اعتناق الشخص للدين أو المعتقد الذي يختاره.</w:t>
      </w:r>
    </w:p>
    <w:p w:rsidR="009A6574" w:rsidRDefault="008F0329">
      <w:pPr>
        <w:spacing w:line="380" w:lineRule="exact"/>
        <w:ind w:left="535"/>
        <w:jc w:val="both"/>
        <w:rPr>
          <w:b/>
          <w:bCs/>
          <w:spacing w:val="0"/>
          <w:rtl/>
        </w:rPr>
      </w:pPr>
      <w:r>
        <w:rPr>
          <w:rFonts w:hint="cs"/>
          <w:b/>
          <w:bCs/>
          <w:spacing w:val="0"/>
          <w:rtl/>
        </w:rPr>
        <w:t>ينبغي ل</w:t>
      </w:r>
      <w:r>
        <w:rPr>
          <w:rFonts w:hint="cs"/>
          <w:b/>
          <w:bCs/>
          <w:spacing w:val="0"/>
          <w:rtl/>
        </w:rPr>
        <w:t>لدولة الطرف أن تتخذ تدابير لضمان احترام حرية الدين والمعتقد، والعمل على أن يكون تشريعها وممارستها وفقا لأحكام المادة 18 من العهد.</w:t>
      </w:r>
    </w:p>
    <w:p w:rsidR="009A6574" w:rsidRDefault="008F0329">
      <w:pPr>
        <w:spacing w:line="380" w:lineRule="exact"/>
        <w:jc w:val="both"/>
        <w:rPr>
          <w:spacing w:val="0"/>
          <w:rtl/>
        </w:rPr>
      </w:pPr>
      <w:r>
        <w:rPr>
          <w:rFonts w:hint="cs"/>
          <w:spacing w:val="0"/>
          <w:rtl/>
        </w:rPr>
        <w:t>22-</w:t>
      </w:r>
      <w:r>
        <w:rPr>
          <w:rFonts w:hint="cs"/>
          <w:spacing w:val="0"/>
          <w:rtl/>
        </w:rPr>
        <w:tab/>
        <w:t>تحيط اللجنة علماً بالمعلومات التي قدمتها الدولة الطرف ومفادها من جهة أن الخدمة العسكرية الإلزامية ذات طابع ثانوي، لا تُفرض</w:t>
      </w:r>
      <w:r>
        <w:rPr>
          <w:rFonts w:hint="cs"/>
          <w:spacing w:val="0"/>
          <w:rtl/>
        </w:rPr>
        <w:t xml:space="preserve"> إلا إذا كان تجنيد المهنيين غير كاف، وأن الدولة الطرف لا تعترف بالحق في الاستنكاف الضميري من جهة أخرى.</w:t>
      </w:r>
    </w:p>
    <w:p w:rsidR="009A6574" w:rsidRDefault="008F0329">
      <w:pPr>
        <w:spacing w:line="380" w:lineRule="exact"/>
        <w:ind w:left="535"/>
        <w:jc w:val="both"/>
        <w:rPr>
          <w:b/>
          <w:bCs/>
          <w:spacing w:val="0"/>
          <w:rtl/>
        </w:rPr>
      </w:pPr>
      <w:r>
        <w:rPr>
          <w:rFonts w:hint="cs"/>
          <w:b/>
          <w:bCs/>
          <w:spacing w:val="0"/>
          <w:rtl/>
        </w:rPr>
        <w:t>على الدولة الطرف أن تعترف اعترافاً كاملاً بالحق في الاستنكاف الضميري في حالة ما إذا كانت الخدمة العسكرية إلزامية وأن تضع خدمة بديلة لا تكون طرائقها قائمة</w:t>
      </w:r>
      <w:r>
        <w:rPr>
          <w:rFonts w:hint="cs"/>
          <w:b/>
          <w:bCs/>
          <w:spacing w:val="0"/>
          <w:rtl/>
        </w:rPr>
        <w:t xml:space="preserve"> على التمييز (المادتان 18 و26 من العهد).</w:t>
      </w:r>
    </w:p>
    <w:p w:rsidR="009A6574" w:rsidRDefault="008F0329">
      <w:pPr>
        <w:spacing w:line="380" w:lineRule="exact"/>
        <w:jc w:val="both"/>
        <w:rPr>
          <w:spacing w:val="0"/>
          <w:rtl/>
        </w:rPr>
      </w:pPr>
      <w:r>
        <w:rPr>
          <w:rFonts w:hint="cs"/>
          <w:spacing w:val="0"/>
          <w:rtl/>
        </w:rPr>
        <w:lastRenderedPageBreak/>
        <w:t>23-</w:t>
      </w:r>
      <w:r>
        <w:rPr>
          <w:rFonts w:hint="cs"/>
          <w:spacing w:val="0"/>
          <w:rtl/>
        </w:rPr>
        <w:tab/>
        <w:t>تعرب اللجنة عن قلقها لاستمرار ورود أنباء تفيد بأن صحفيين خضعوا لغرامات أو مضايقات في إطار</w:t>
      </w:r>
      <w:r>
        <w:rPr>
          <w:spacing w:val="0"/>
          <w:rtl/>
        </w:rPr>
        <w:br/>
      </w:r>
      <w:r>
        <w:rPr>
          <w:rFonts w:hint="cs"/>
          <w:spacing w:val="0"/>
          <w:rtl/>
        </w:rPr>
        <w:t>ممارستهم لعملهم.</w:t>
      </w:r>
    </w:p>
    <w:p w:rsidR="009A6574" w:rsidRDefault="008F0329">
      <w:pPr>
        <w:spacing w:line="380" w:lineRule="exact"/>
        <w:ind w:left="535"/>
        <w:jc w:val="both"/>
        <w:rPr>
          <w:b/>
          <w:bCs/>
          <w:spacing w:val="0"/>
          <w:rtl/>
        </w:rPr>
      </w:pPr>
      <w:r>
        <w:rPr>
          <w:rFonts w:hint="cs"/>
          <w:b/>
          <w:bCs/>
          <w:spacing w:val="0"/>
          <w:rtl/>
        </w:rPr>
        <w:t>ينبغي للدولة الطرف أن تتخذ التدابير اللازمة لمنع مضايقة الصحفيين والعمل على أن يكون تشريعها وممارستها عل</w:t>
      </w:r>
      <w:r>
        <w:rPr>
          <w:rFonts w:hint="cs"/>
          <w:b/>
          <w:bCs/>
          <w:spacing w:val="0"/>
          <w:rtl/>
        </w:rPr>
        <w:t>ى اتفاق تام مع أحكام المادة 19 من العهد.</w:t>
      </w:r>
    </w:p>
    <w:p w:rsidR="009A6574" w:rsidRDefault="008F0329">
      <w:pPr>
        <w:spacing w:line="380" w:lineRule="exact"/>
        <w:jc w:val="both"/>
        <w:rPr>
          <w:spacing w:val="0"/>
          <w:rtl/>
        </w:rPr>
      </w:pPr>
      <w:r>
        <w:rPr>
          <w:rFonts w:hint="cs"/>
          <w:spacing w:val="0"/>
          <w:rtl/>
        </w:rPr>
        <w:t>24-</w:t>
      </w:r>
      <w:r>
        <w:rPr>
          <w:rFonts w:hint="cs"/>
          <w:spacing w:val="0"/>
          <w:rtl/>
        </w:rPr>
        <w:tab/>
        <w:t>تظل اللجنة قلقة لكون تسليم وصل التصريح المسبق بالاجتماع كثيراً ما يؤدي إلى تجاوزات، مما يحد في الواقع من الحق في التجمع المنصوص عليه في المادة 21 من العهد.</w:t>
      </w:r>
    </w:p>
    <w:p w:rsidR="009A6574" w:rsidRDefault="008F0329">
      <w:pPr>
        <w:spacing w:line="380" w:lineRule="exact"/>
        <w:ind w:left="535"/>
        <w:jc w:val="both"/>
        <w:rPr>
          <w:b/>
          <w:bCs/>
          <w:spacing w:val="0"/>
          <w:rtl/>
        </w:rPr>
      </w:pPr>
      <w:r>
        <w:rPr>
          <w:rFonts w:hint="cs"/>
          <w:b/>
          <w:bCs/>
          <w:spacing w:val="0"/>
          <w:rtl/>
        </w:rPr>
        <w:t>ينبغي للدولة الطرف أن تزيل العقبات التي تحول دون ممارسة</w:t>
      </w:r>
      <w:r>
        <w:rPr>
          <w:rFonts w:hint="cs"/>
          <w:b/>
          <w:bCs/>
          <w:spacing w:val="0"/>
          <w:rtl/>
        </w:rPr>
        <w:t xml:space="preserve"> الحق في التجمع (المادة 21 من العهد).</w:t>
      </w:r>
    </w:p>
    <w:p w:rsidR="009A6574" w:rsidRDefault="008F0329">
      <w:pPr>
        <w:spacing w:line="380" w:lineRule="exact"/>
        <w:jc w:val="both"/>
        <w:rPr>
          <w:spacing w:val="0"/>
          <w:rtl/>
        </w:rPr>
      </w:pPr>
      <w:r>
        <w:rPr>
          <w:rFonts w:hint="cs"/>
          <w:spacing w:val="0"/>
          <w:rtl/>
        </w:rPr>
        <w:t>25-</w:t>
      </w:r>
      <w:r>
        <w:rPr>
          <w:rFonts w:hint="cs"/>
          <w:spacing w:val="0"/>
          <w:rtl/>
        </w:rPr>
        <w:tab/>
        <w:t>تحيط اللجنة علماً بمختلف التقارير التي تفيد بوجود قيود على الحق في حرية إنشاء الجمعيات.</w:t>
      </w:r>
    </w:p>
    <w:p w:rsidR="009A6574" w:rsidRDefault="008F0329">
      <w:pPr>
        <w:spacing w:line="380" w:lineRule="exact"/>
        <w:ind w:left="535"/>
        <w:jc w:val="both"/>
        <w:rPr>
          <w:b/>
          <w:bCs/>
          <w:spacing w:val="0"/>
          <w:rtl/>
        </w:rPr>
      </w:pPr>
      <w:r>
        <w:rPr>
          <w:rFonts w:hint="cs"/>
          <w:b/>
          <w:bCs/>
          <w:spacing w:val="0"/>
          <w:rtl/>
        </w:rPr>
        <w:t>ينبغي للدولة الطرف أن تجعل ممارستها متمشية مع أحكام المادة 22 من العهد.</w:t>
      </w:r>
    </w:p>
    <w:p w:rsidR="009A6574" w:rsidRDefault="008F0329">
      <w:pPr>
        <w:spacing w:line="380" w:lineRule="exact"/>
        <w:jc w:val="both"/>
        <w:rPr>
          <w:spacing w:val="0"/>
          <w:rtl/>
        </w:rPr>
      </w:pPr>
      <w:r>
        <w:rPr>
          <w:rFonts w:hint="cs"/>
          <w:spacing w:val="0"/>
          <w:rtl/>
        </w:rPr>
        <w:t>26-</w:t>
      </w:r>
      <w:r>
        <w:rPr>
          <w:rFonts w:hint="cs"/>
          <w:spacing w:val="0"/>
          <w:rtl/>
        </w:rPr>
        <w:tab/>
        <w:t xml:space="preserve">مع الترحيب بالتقدم الذي أحرز في مجال التعليم، تظل </w:t>
      </w:r>
      <w:r>
        <w:rPr>
          <w:rFonts w:hint="cs"/>
          <w:spacing w:val="0"/>
          <w:rtl/>
        </w:rPr>
        <w:t>اللجنة قلقة لكون عدد الأميين لا يزال مرتفعاً، لا سيما في أوساط النساء.</w:t>
      </w:r>
    </w:p>
    <w:p w:rsidR="009A6574" w:rsidRDefault="008F0329">
      <w:pPr>
        <w:spacing w:line="380" w:lineRule="exact"/>
        <w:ind w:left="535"/>
        <w:jc w:val="both"/>
        <w:rPr>
          <w:b/>
          <w:bCs/>
          <w:spacing w:val="0"/>
          <w:rtl/>
        </w:rPr>
      </w:pPr>
      <w:r>
        <w:rPr>
          <w:rFonts w:hint="cs"/>
          <w:b/>
          <w:bCs/>
          <w:spacing w:val="0"/>
          <w:rtl/>
        </w:rPr>
        <w:t>ينبغي للدولة الطرف أن تواصل إجراءاتها المتخذة من أجل معالجة هذه المشكلة (المادة 26 من العهد).</w:t>
      </w:r>
    </w:p>
    <w:p w:rsidR="009A6574" w:rsidRDefault="008F0329">
      <w:pPr>
        <w:spacing w:line="380" w:lineRule="exact"/>
        <w:jc w:val="both"/>
        <w:rPr>
          <w:spacing w:val="0"/>
          <w:rtl/>
        </w:rPr>
      </w:pPr>
      <w:r>
        <w:rPr>
          <w:rFonts w:hint="cs"/>
          <w:spacing w:val="0"/>
          <w:rtl/>
        </w:rPr>
        <w:t>27-</w:t>
      </w:r>
      <w:r>
        <w:rPr>
          <w:rFonts w:hint="cs"/>
          <w:spacing w:val="0"/>
          <w:rtl/>
        </w:rPr>
        <w:tab/>
        <w:t xml:space="preserve">تعرب اللجنة عن قلقها إزاء منع تزوج المسلمات من رجال على ديانات ومعتقدات أخرى (المواد 3 </w:t>
      </w:r>
      <w:r>
        <w:rPr>
          <w:spacing w:val="0"/>
          <w:rtl/>
        </w:rPr>
        <w:br/>
      </w:r>
      <w:r>
        <w:rPr>
          <w:rFonts w:hint="cs"/>
          <w:spacing w:val="0"/>
          <w:rtl/>
        </w:rPr>
        <w:t>و23 و26 من العهد).</w:t>
      </w:r>
    </w:p>
    <w:p w:rsidR="009A6574" w:rsidRDefault="008F0329">
      <w:pPr>
        <w:spacing w:line="380" w:lineRule="exact"/>
        <w:ind w:left="535"/>
        <w:jc w:val="both"/>
        <w:rPr>
          <w:b/>
          <w:bCs/>
          <w:spacing w:val="0"/>
          <w:rtl/>
        </w:rPr>
      </w:pPr>
      <w:r>
        <w:rPr>
          <w:rFonts w:hint="cs"/>
          <w:b/>
          <w:bCs/>
          <w:spacing w:val="0"/>
          <w:rtl/>
        </w:rPr>
        <w:t>ينبغي للدولة الطرف أن تمتثل لأحكام المواد 3 و23 و26 من العهد بأن تراجع القوانين المعنية.</w:t>
      </w:r>
    </w:p>
    <w:p w:rsidR="009A6574" w:rsidRDefault="008F0329">
      <w:pPr>
        <w:spacing w:line="380" w:lineRule="exact"/>
        <w:jc w:val="both"/>
        <w:rPr>
          <w:spacing w:val="0"/>
          <w:rtl/>
        </w:rPr>
      </w:pPr>
      <w:r>
        <w:rPr>
          <w:rFonts w:hint="cs"/>
          <w:spacing w:val="0"/>
          <w:rtl/>
        </w:rPr>
        <w:t>28-</w:t>
      </w:r>
      <w:r>
        <w:rPr>
          <w:rFonts w:hint="cs"/>
          <w:spacing w:val="0"/>
          <w:rtl/>
        </w:rPr>
        <w:tab/>
        <w:t>تعرب اللجنة عن قلقها أيضاً لكثرة حالات العنف المنزلي ضد النساء.</w:t>
      </w:r>
    </w:p>
    <w:p w:rsidR="009A6574" w:rsidRDefault="008F0329">
      <w:pPr>
        <w:spacing w:line="380" w:lineRule="exact"/>
        <w:ind w:left="535"/>
        <w:jc w:val="both"/>
        <w:rPr>
          <w:b/>
          <w:bCs/>
          <w:spacing w:val="0"/>
          <w:rtl/>
        </w:rPr>
      </w:pPr>
      <w:r>
        <w:rPr>
          <w:rFonts w:hint="cs"/>
          <w:b/>
          <w:bCs/>
          <w:spacing w:val="0"/>
          <w:rtl/>
        </w:rPr>
        <w:t xml:space="preserve">ينبغي للدولة الطرف أن تتخذ تدابير عملية ملائمة لمكافحة هذه الظاهرة (المادتان 3 </w:t>
      </w:r>
      <w:r>
        <w:rPr>
          <w:rFonts w:hint="cs"/>
          <w:b/>
          <w:bCs/>
          <w:spacing w:val="0"/>
          <w:rtl/>
        </w:rPr>
        <w:t>و7 من العهد).</w:t>
      </w:r>
    </w:p>
    <w:p w:rsidR="009A6574" w:rsidRDefault="008F0329">
      <w:pPr>
        <w:spacing w:line="380" w:lineRule="exact"/>
        <w:jc w:val="both"/>
        <w:rPr>
          <w:spacing w:val="0"/>
          <w:rtl/>
        </w:rPr>
      </w:pPr>
      <w:r>
        <w:rPr>
          <w:rFonts w:hint="cs"/>
          <w:spacing w:val="0"/>
          <w:rtl/>
        </w:rPr>
        <w:t>29-</w:t>
      </w:r>
      <w:r>
        <w:rPr>
          <w:rFonts w:hint="cs"/>
          <w:spacing w:val="0"/>
          <w:rtl/>
        </w:rPr>
        <w:tab/>
        <w:t>تلاحظ اللجنة بقلق أن الإجهاض لا يزال جرماً جنائياً في القانون المغربي إلا إذا تم من أجل إنقاذ حياة الأم.</w:t>
      </w:r>
    </w:p>
    <w:p w:rsidR="009A6574" w:rsidRDefault="008F0329">
      <w:pPr>
        <w:spacing w:line="380" w:lineRule="exact"/>
        <w:ind w:left="535"/>
        <w:jc w:val="both"/>
        <w:rPr>
          <w:b/>
          <w:bCs/>
          <w:spacing w:val="0"/>
          <w:rtl/>
        </w:rPr>
      </w:pPr>
      <w:r>
        <w:rPr>
          <w:rFonts w:hint="cs"/>
          <w:b/>
          <w:bCs/>
          <w:spacing w:val="0"/>
          <w:rtl/>
        </w:rPr>
        <w:t>ينبغي للدولة الطرف أن تعمل على عدم إجبار النساء على مواصلة الحمل إلى الوضع حينما يكون ذلك متعارضا مع الالتزامات المنصوص عليها في العه</w:t>
      </w:r>
      <w:r>
        <w:rPr>
          <w:rFonts w:hint="cs"/>
          <w:b/>
          <w:bCs/>
          <w:spacing w:val="0"/>
          <w:rtl/>
        </w:rPr>
        <w:t>د (المادتان 6 و7) وأن تحرر الأحكام المتعلقة بقطع الحمل.</w:t>
      </w:r>
    </w:p>
    <w:p w:rsidR="009A6574" w:rsidRDefault="008F0329">
      <w:pPr>
        <w:spacing w:line="380" w:lineRule="exact"/>
        <w:jc w:val="both"/>
        <w:rPr>
          <w:spacing w:val="0"/>
          <w:rtl/>
        </w:rPr>
      </w:pPr>
      <w:r>
        <w:rPr>
          <w:rFonts w:hint="cs"/>
          <w:spacing w:val="0"/>
          <w:rtl/>
        </w:rPr>
        <w:t>30-</w:t>
      </w:r>
      <w:r>
        <w:rPr>
          <w:rFonts w:hint="cs"/>
          <w:spacing w:val="0"/>
          <w:rtl/>
        </w:rPr>
        <w:tab/>
        <w:t>تأسف اللجنة لكون المدونة الجديدة للأسرة لا تمنع تعدد الزوجات، وإن كانت تحد من اللجوء إليه، رغم أن ذلك يمس بكرامة المرأة (المواد 3 و23 و26 من العهد)</w:t>
      </w:r>
    </w:p>
    <w:p w:rsidR="009A6574" w:rsidRDefault="008F0329">
      <w:pPr>
        <w:spacing w:line="380" w:lineRule="exact"/>
        <w:ind w:left="535"/>
        <w:jc w:val="both"/>
        <w:rPr>
          <w:b/>
          <w:bCs/>
          <w:spacing w:val="0"/>
          <w:rtl/>
        </w:rPr>
      </w:pPr>
      <w:r>
        <w:rPr>
          <w:rFonts w:hint="cs"/>
          <w:b/>
          <w:bCs/>
          <w:spacing w:val="0"/>
          <w:rtl/>
        </w:rPr>
        <w:t>ينبغي للدولة الطرف أن تمنع تعدد الزوجات بشكل واض</w:t>
      </w:r>
      <w:r>
        <w:rPr>
          <w:rFonts w:hint="cs"/>
          <w:b/>
          <w:bCs/>
          <w:spacing w:val="0"/>
          <w:rtl/>
        </w:rPr>
        <w:t>ح وقطعي (المواد 3 و23 و26 من العهد).</w:t>
      </w:r>
    </w:p>
    <w:p w:rsidR="009A6574" w:rsidRDefault="008F0329">
      <w:pPr>
        <w:spacing w:line="380" w:lineRule="exact"/>
        <w:jc w:val="both"/>
        <w:rPr>
          <w:spacing w:val="0"/>
          <w:rtl/>
        </w:rPr>
      </w:pPr>
      <w:r>
        <w:rPr>
          <w:rFonts w:hint="cs"/>
          <w:spacing w:val="0"/>
          <w:rtl/>
        </w:rPr>
        <w:lastRenderedPageBreak/>
        <w:t>31-</w:t>
      </w:r>
      <w:r>
        <w:rPr>
          <w:rFonts w:hint="cs"/>
          <w:spacing w:val="0"/>
          <w:rtl/>
        </w:rPr>
        <w:tab/>
        <w:t>تلاحظ اللجنة أن عمل الأطفال لا يزال شائعاً في المغرب، رغم أن قانون الشغل الجديد ينص على منع تشغيل الأشخاص دون سن 15 سنة.</w:t>
      </w:r>
    </w:p>
    <w:p w:rsidR="009A6574" w:rsidRDefault="008F0329">
      <w:pPr>
        <w:spacing w:line="380" w:lineRule="exact"/>
        <w:ind w:left="535"/>
        <w:jc w:val="both"/>
        <w:rPr>
          <w:b/>
          <w:bCs/>
          <w:spacing w:val="0"/>
          <w:rtl/>
        </w:rPr>
      </w:pPr>
      <w:r>
        <w:rPr>
          <w:rFonts w:hint="cs"/>
          <w:b/>
          <w:bCs/>
          <w:spacing w:val="0"/>
          <w:rtl/>
        </w:rPr>
        <w:t>ينبغي للدولة الطرف أن تتخذ التدابير الملائمة من أجل تطبيق أحكام قانون الشغل فيما يتعلق بالقاصر</w:t>
      </w:r>
      <w:r>
        <w:rPr>
          <w:rFonts w:hint="cs"/>
          <w:b/>
          <w:bCs/>
          <w:spacing w:val="0"/>
          <w:rtl/>
        </w:rPr>
        <w:t>ين (المادة 24 من العهد).</w:t>
      </w:r>
    </w:p>
    <w:p w:rsidR="009A6574" w:rsidRDefault="008F0329">
      <w:pPr>
        <w:spacing w:line="380" w:lineRule="exact"/>
        <w:jc w:val="both"/>
        <w:rPr>
          <w:spacing w:val="0"/>
          <w:rtl/>
        </w:rPr>
      </w:pPr>
      <w:r>
        <w:rPr>
          <w:rFonts w:hint="cs"/>
          <w:spacing w:val="0"/>
          <w:rtl/>
        </w:rPr>
        <w:t>32-</w:t>
      </w:r>
      <w:r>
        <w:rPr>
          <w:rFonts w:hint="cs"/>
          <w:spacing w:val="0"/>
          <w:rtl/>
        </w:rPr>
        <w:tab/>
        <w:t>تلاحظ اللجنة أن الطفل المولود من أم مغربية ومن أب أجنبي (أو مجهول الجنسية) يعامَل معاملةً مختلفة فيما يتعلق بالحصول على الجنسية مقارنةً بالطفل المولود من أب مغربي.</w:t>
      </w:r>
    </w:p>
    <w:p w:rsidR="009A6574" w:rsidRDefault="008F0329">
      <w:pPr>
        <w:spacing w:line="380" w:lineRule="exact"/>
        <w:ind w:left="535"/>
        <w:jc w:val="both"/>
        <w:rPr>
          <w:b/>
          <w:bCs/>
          <w:spacing w:val="0"/>
          <w:rtl/>
        </w:rPr>
      </w:pPr>
      <w:r>
        <w:rPr>
          <w:rFonts w:hint="cs"/>
          <w:b/>
          <w:bCs/>
          <w:spacing w:val="0"/>
          <w:rtl/>
        </w:rPr>
        <w:t xml:space="preserve">ينبغي للدولة الطرف أن تمتثل لأحكام المادة 24 من العهد وأن تضمن </w:t>
      </w:r>
      <w:r>
        <w:rPr>
          <w:rFonts w:hint="cs"/>
          <w:b/>
          <w:bCs/>
          <w:spacing w:val="0"/>
          <w:rtl/>
        </w:rPr>
        <w:t>المساواة في معاملة الأبناء من أم مغربية وأب مغربي أو أجنبي (المادتان 24 و26 من العهد).</w:t>
      </w:r>
    </w:p>
    <w:p w:rsidR="009A6574" w:rsidRDefault="008F0329">
      <w:pPr>
        <w:spacing w:line="380" w:lineRule="exact"/>
        <w:jc w:val="both"/>
        <w:rPr>
          <w:spacing w:val="0"/>
          <w:rtl/>
        </w:rPr>
      </w:pPr>
      <w:r>
        <w:rPr>
          <w:rFonts w:hint="cs"/>
          <w:spacing w:val="0"/>
          <w:rtl/>
        </w:rPr>
        <w:t>33-</w:t>
      </w:r>
      <w:r>
        <w:rPr>
          <w:rFonts w:hint="cs"/>
          <w:spacing w:val="0"/>
          <w:rtl/>
        </w:rPr>
        <w:tab/>
        <w:t>تلاحظ اللجنة بقلق، رغم ترحيبها باعتماد مدونة الأسرة، أن الفوارق بين النساء والرجال لا تزال قائمة في مجال الإرث والطلاق.</w:t>
      </w:r>
    </w:p>
    <w:p w:rsidR="009A6574" w:rsidRDefault="008F0329">
      <w:pPr>
        <w:spacing w:line="380" w:lineRule="exact"/>
        <w:ind w:left="535"/>
        <w:jc w:val="both"/>
        <w:rPr>
          <w:b/>
          <w:bCs/>
          <w:spacing w:val="0"/>
          <w:rtl/>
        </w:rPr>
      </w:pPr>
      <w:r>
        <w:rPr>
          <w:rFonts w:hint="cs"/>
          <w:b/>
          <w:bCs/>
          <w:spacing w:val="0"/>
          <w:rtl/>
        </w:rPr>
        <w:t xml:space="preserve">ينبغي للدولة الطرف أن تعيد النظر في تشريعها </w:t>
      </w:r>
      <w:r>
        <w:rPr>
          <w:rFonts w:hint="cs"/>
          <w:b/>
          <w:bCs/>
          <w:spacing w:val="0"/>
          <w:rtl/>
        </w:rPr>
        <w:t>وأن تحرص على القضاء على أي تمييز قائم على الجنس في مجال الإرث والطلاق (المادة 26 من العهد)</w:t>
      </w:r>
    </w:p>
    <w:p w:rsidR="009A6574" w:rsidRDefault="008F0329">
      <w:pPr>
        <w:spacing w:line="380" w:lineRule="exact"/>
        <w:jc w:val="center"/>
        <w:rPr>
          <w:b/>
          <w:bCs/>
          <w:spacing w:val="0"/>
          <w:rtl/>
        </w:rPr>
      </w:pPr>
      <w:r>
        <w:rPr>
          <w:rFonts w:hint="cs"/>
          <w:b/>
          <w:bCs/>
          <w:spacing w:val="0"/>
          <w:rtl/>
        </w:rPr>
        <w:t xml:space="preserve">دال - </w:t>
      </w:r>
      <w:r>
        <w:rPr>
          <w:rFonts w:hint="cs"/>
          <w:b/>
          <w:bCs/>
          <w:spacing w:val="0"/>
          <w:rtl/>
        </w:rPr>
        <w:tab/>
        <w:t>نشر المعلومات المتعلقة بالعهد (المادة 2)</w:t>
      </w:r>
    </w:p>
    <w:p w:rsidR="009A6574" w:rsidRDefault="008F0329">
      <w:pPr>
        <w:spacing w:line="380" w:lineRule="exact"/>
        <w:jc w:val="both"/>
        <w:rPr>
          <w:spacing w:val="0"/>
          <w:rtl/>
        </w:rPr>
      </w:pPr>
      <w:r>
        <w:rPr>
          <w:rFonts w:hint="cs"/>
          <w:spacing w:val="0"/>
          <w:rtl/>
        </w:rPr>
        <w:t>34-</w:t>
      </w:r>
      <w:r>
        <w:rPr>
          <w:rFonts w:hint="cs"/>
          <w:spacing w:val="0"/>
          <w:rtl/>
        </w:rPr>
        <w:tab/>
        <w:t>تحث اللجنة الدولة الطرف على إتاحة نص هذه الملاحظات الختامية بلغات متعددة للجمهور والسلطات التشريعية والإدارية. وت</w:t>
      </w:r>
      <w:r>
        <w:rPr>
          <w:rFonts w:hint="cs"/>
          <w:spacing w:val="0"/>
          <w:rtl/>
        </w:rPr>
        <w:t>طلب اللجنة أن ينشر التقرير الدوري القادم على نطاق واسع في عامة الجمهور، لا سيما في أوساط المجتمع المدني والمنظمات غير الحكومية العاملة في المغرب.</w:t>
      </w:r>
    </w:p>
    <w:p w:rsidR="009A6574" w:rsidRDefault="008F0329">
      <w:pPr>
        <w:spacing w:line="380" w:lineRule="exact"/>
        <w:jc w:val="both"/>
        <w:rPr>
          <w:spacing w:val="0"/>
          <w:rtl/>
        </w:rPr>
      </w:pPr>
      <w:r>
        <w:rPr>
          <w:rFonts w:hint="cs"/>
          <w:spacing w:val="0"/>
          <w:rtl/>
        </w:rPr>
        <w:t>35-</w:t>
      </w:r>
      <w:r>
        <w:rPr>
          <w:rFonts w:hint="cs"/>
          <w:spacing w:val="0"/>
          <w:rtl/>
        </w:rPr>
        <w:tab/>
        <w:t>تحدد اللجنة يوم 1 تشرين الثاني/نوفمبر 2008 موعداً لتقديم المغرب تقريره الدوري السادس. وينبغي للتقرير أن يع</w:t>
      </w:r>
      <w:r>
        <w:rPr>
          <w:rFonts w:hint="cs"/>
          <w:spacing w:val="0"/>
          <w:rtl/>
        </w:rPr>
        <w:t>الج بشكل خاص دواعي القلق التي أثيرت في الفقرات 12 و14 و15 و16 وغيرها من المشاكل التي أثارتها اللجنة في هذه الملاحظات الختامية.</w:t>
      </w:r>
    </w:p>
    <w:p w:rsidR="009A6574" w:rsidRDefault="008F0329">
      <w:pPr>
        <w:spacing w:line="380" w:lineRule="exact"/>
        <w:jc w:val="center"/>
        <w:rPr>
          <w:spacing w:val="0"/>
          <w:rtl/>
        </w:rPr>
      </w:pPr>
      <w:r>
        <w:rPr>
          <w:rFonts w:hint="cs"/>
          <w:spacing w:val="0"/>
          <w:rtl/>
        </w:rPr>
        <w:t>- - - - -</w:t>
      </w:r>
    </w:p>
    <w:sectPr w:rsidR="009A6574">
      <w:headerReference w:type="even" r:id="rId8"/>
      <w:headerReference w:type="default" r:id="rId9"/>
      <w:headerReference w:type="first" r:id="rId10"/>
      <w:footerReference w:type="first" r:id="rId11"/>
      <w:type w:val="continuous"/>
      <w:pgSz w:w="11906" w:h="16838" w:code="9"/>
      <w:pgMar w:top="1701" w:right="1701" w:bottom="1984" w:left="850" w:header="567" w:footer="1417" w:gutter="0"/>
      <w:cols w:space="720"/>
      <w:formProt w:val="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29" w:rsidRDefault="008F0329">
      <w:pPr>
        <w:spacing w:before="0" w:after="0"/>
      </w:pPr>
      <w:r>
        <w:separator/>
      </w:r>
    </w:p>
  </w:endnote>
  <w:endnote w:type="continuationSeparator" w:id="0">
    <w:p w:rsidR="008F0329" w:rsidRDefault="008F03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74" w:rsidRDefault="008F0329">
    <w:pPr>
      <w:pStyle w:val="Pidipagina"/>
      <w:bidi w:val="0"/>
      <w:jc w:val="right"/>
      <w:rPr>
        <w:rtl/>
        <w:lang w:eastAsia="en-US"/>
      </w:rPr>
    </w:pPr>
    <w:r>
      <w:rPr>
        <w:szCs w:val="22"/>
        <w:lang w:eastAsia="en-US"/>
      </w:rPr>
      <w:t>(A)     GE.04-45014    081204    091204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29" w:rsidRDefault="008F0329">
      <w:pPr>
        <w:pStyle w:val="Testonotaapidipagina"/>
        <w:numPr>
          <w:ilvl w:val="0"/>
          <w:numId w:val="0"/>
        </w:numPr>
        <w:ind w:right="0"/>
        <w:rPr>
          <w:szCs w:val="22"/>
          <w:lang w:eastAsia="en-US"/>
        </w:rPr>
      </w:pPr>
      <w:r>
        <w:separator/>
      </w:r>
    </w:p>
  </w:footnote>
  <w:footnote w:type="continuationSeparator" w:id="0">
    <w:p w:rsidR="008F0329" w:rsidRDefault="008F03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2179"/>
    </w:tblGrid>
    <w:tr w:rsidR="008F5CCC" w:rsidTr="008F5CCC">
      <w:tc>
        <w:tcPr>
          <w:tcW w:w="2179" w:type="dxa"/>
        </w:tcPr>
        <w:p w:rsidR="009A6574" w:rsidRDefault="008F0329">
          <w:pPr>
            <w:pStyle w:val="Intestazione"/>
            <w:bidi w:val="0"/>
          </w:pPr>
          <w:r>
            <w:t>CCPR/CO/82/MAR</w:t>
          </w:r>
        </w:p>
        <w:p w:rsidR="009A6574" w:rsidRDefault="008F0329">
          <w:pPr>
            <w:pStyle w:val="Intestazione"/>
            <w:bidi w:val="0"/>
          </w:pPr>
          <w:r>
            <w:t xml:space="preserve">Page </w:t>
          </w:r>
          <w:r>
            <w:fldChar w:fldCharType="begin"/>
          </w:r>
          <w:r>
            <w:instrText xml:space="preserve"> PAGE  \* MERGEFORMAT </w:instrText>
          </w:r>
          <w:r>
            <w:fldChar w:fldCharType="separate"/>
          </w:r>
          <w:r w:rsidR="00502370">
            <w:rPr>
              <w:noProof/>
            </w:rPr>
            <w:t>6</w:t>
          </w:r>
          <w:r>
            <w:fldChar w:fldCharType="end"/>
          </w:r>
        </w:p>
      </w:tc>
    </w:tr>
  </w:tbl>
  <w:p w:rsidR="009A6574" w:rsidRDefault="009A6574">
    <w:pPr>
      <w:pStyle w:val="Intestazione"/>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74" w:rsidRDefault="008F0329">
    <w:pPr>
      <w:pStyle w:val="Intestazione"/>
      <w:bidi w:val="0"/>
    </w:pPr>
    <w:r>
      <w:t>CCPR/CO/82/MAR</w:t>
    </w:r>
  </w:p>
  <w:p w:rsidR="009A6574" w:rsidRDefault="008F0329">
    <w:pPr>
      <w:pStyle w:val="Intestazione"/>
      <w:bidi w:val="0"/>
    </w:pPr>
    <w:r>
      <w:t xml:space="preserve">Page </w:t>
    </w:r>
    <w:r>
      <w:fldChar w:fldCharType="begin"/>
    </w:r>
    <w:r>
      <w:instrText xml:space="preserve"> PAGE  \* MERGEFORMAT </w:instrText>
    </w:r>
    <w:r>
      <w:fldChar w:fldCharType="separate"/>
    </w:r>
    <w:r w:rsidR="00502370">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74" w:rsidRDefault="008F0329">
    <w:pPr>
      <w:tabs>
        <w:tab w:val="right" w:pos="9467"/>
      </w:tabs>
      <w:spacing w:after="0" w:line="1000" w:lineRule="exact"/>
      <w:jc w:val="both"/>
      <w:rPr>
        <w:rFonts w:cs="Times New Roman"/>
        <w:b/>
        <w:bCs/>
        <w:sz w:val="44"/>
        <w:szCs w:val="36"/>
        <w:rtl/>
        <w:lang w:eastAsia="en-US"/>
      </w:rPr>
    </w:pPr>
    <w:r>
      <w:rPr>
        <w:sz w:val="56"/>
        <w:szCs w:val="56"/>
        <w:rtl/>
        <w:lang w:eastAsia="en-US"/>
      </w:rPr>
      <w:t>الأمم المتحدة</w:t>
    </w:r>
    <w:r>
      <w:rPr>
        <w:szCs w:val="36"/>
        <w:rtl/>
        <w:lang w:eastAsia="en-US"/>
      </w:rPr>
      <w:tab/>
    </w:r>
    <w:r>
      <w:rPr>
        <w:rFonts w:ascii="Arial" w:hAnsi="Arial" w:cs="Arial"/>
        <w:b/>
        <w:bCs/>
        <w:sz w:val="72"/>
        <w:szCs w:val="72"/>
        <w:lang w:eastAsia="en-US"/>
      </w:rPr>
      <w:t>CCPR</w:t>
    </w:r>
  </w:p>
  <w:p w:rsidR="009A6574" w:rsidRDefault="009A6574">
    <w:pPr>
      <w:pBdr>
        <w:bottom w:val="single" w:sz="6" w:space="1" w:color="auto"/>
      </w:pBdr>
      <w:bidi w:val="0"/>
      <w:spacing w:before="0" w:after="0"/>
      <w:rPr>
        <w:rFonts w:cs="Times New Roman"/>
        <w:szCs w:val="22"/>
        <w:lang w:eastAsia="en-US"/>
      </w:rPr>
    </w:pPr>
  </w:p>
  <w:p w:rsidR="009A6574" w:rsidRDefault="008F0329">
    <w:pPr>
      <w:pStyle w:val="Intestazione"/>
      <w:bidi w:val="0"/>
      <w:rPr>
        <w:rtl/>
        <w:lang w:eastAsia="en-US"/>
      </w:rPr>
    </w:pPr>
    <w:r>
      <w:rPr>
        <w:noProof/>
        <w:sz w:val="20"/>
        <w:rtl/>
        <w:lang w:val="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84.75pt;margin-top:13.9pt;width:92.9pt;height:59.35pt;z-index:1" fillcolor="window">
          <v:imagedata r:id="rId1" o:title="" croptop="-748f" cropbottom="-748f" cropleft="-9433f" cropright="-9433f"/>
        </v:shape>
        <o:OLEObject Type="Embed" ProgID="Word.Picture.8" ShapeID="_x0000_s2055" DrawAspect="Content" ObjectID="_1514897924" r:id="rId2"/>
      </w:pict>
    </w:r>
  </w:p>
  <w:p w:rsidR="009A6574" w:rsidRDefault="008F0329">
    <w:pPr>
      <w:pStyle w:val="Intestazione"/>
      <w:bidi w:val="0"/>
      <w:rPr>
        <w:szCs w:val="22"/>
        <w:lang w:eastAsia="en-US"/>
      </w:rPr>
    </w:pPr>
    <w:r>
      <w:pict>
        <v:shapetype id="_x0000_t202" coordsize="21600,21600" o:spt="202" path="m,l,21600r21600,l21600,xe">
          <v:stroke joinstyle="miter"/>
          <v:path gradientshapeok="t" o:connecttype="rect"/>
        </v:shapetype>
        <v:shape id="_x0000_s2050" type="#_x0000_t202" style="position:absolute;left:0;text-align:left;margin-left:256.3pt;margin-top:2.25pt;width:173.4pt;height:95.2pt;z-index:-1;mso-wrap-edited:f;mso-position-horizontal-relative:page" wrapcoords="-80 -372 -80 21972 21761 21972 21761 -372 -80 -372" filled="f" stroked="f" strokeweight="2.25pt">
          <v:textbox style="mso-next-textbox:#_x0000_s2050" inset="0,0,0,0">
            <w:txbxContent>
              <w:p w:rsidR="009A6574" w:rsidRDefault="008F0329">
                <w:pPr>
                  <w:spacing w:before="0" w:after="0" w:line="640" w:lineRule="exact"/>
                  <w:jc w:val="left"/>
                  <w:rPr>
                    <w:b/>
                    <w:bCs/>
                    <w:spacing w:val="0"/>
                    <w:sz w:val="56"/>
                    <w:szCs w:val="56"/>
                    <w:rtl/>
                  </w:rPr>
                </w:pPr>
                <w:r>
                  <w:rPr>
                    <w:rFonts w:hint="cs"/>
                    <w:b/>
                    <w:bCs/>
                    <w:spacing w:val="0"/>
                    <w:sz w:val="56"/>
                    <w:szCs w:val="56"/>
                    <w:rtl/>
                  </w:rPr>
                  <w:t>العهـد الدولي الخاص</w:t>
                </w:r>
                <w:r>
                  <w:rPr>
                    <w:b/>
                    <w:bCs/>
                    <w:spacing w:val="0"/>
                    <w:sz w:val="56"/>
                    <w:szCs w:val="56"/>
                    <w:rtl/>
                  </w:rPr>
                  <w:br/>
                </w:r>
                <w:r>
                  <w:rPr>
                    <w:rFonts w:hint="cs"/>
                    <w:b/>
                    <w:bCs/>
                    <w:spacing w:val="0"/>
                    <w:sz w:val="56"/>
                    <w:szCs w:val="56"/>
                    <w:rtl/>
                  </w:rPr>
                  <w:t>بالحقــوق المدنيـة</w:t>
                </w:r>
                <w:r>
                  <w:rPr>
                    <w:b/>
                    <w:bCs/>
                    <w:spacing w:val="0"/>
                    <w:sz w:val="56"/>
                    <w:szCs w:val="56"/>
                    <w:rtl/>
                  </w:rPr>
                  <w:t xml:space="preserve"> </w:t>
                </w:r>
                <w:r>
                  <w:rPr>
                    <w:rFonts w:hint="cs"/>
                    <w:b/>
                    <w:bCs/>
                    <w:spacing w:val="0"/>
                    <w:sz w:val="56"/>
                    <w:szCs w:val="56"/>
                    <w:rtl/>
                  </w:rPr>
                  <w:t xml:space="preserve"> والسياسية</w:t>
                </w:r>
              </w:p>
            </w:txbxContent>
          </v:textbox>
          <w10:wrap type="tight" anchorx="page"/>
        </v:shape>
      </w:pict>
    </w:r>
  </w:p>
  <w:p w:rsidR="009A6574" w:rsidRDefault="009A6574">
    <w:pPr>
      <w:pStyle w:val="Intestazione"/>
      <w:bidi w:val="0"/>
      <w:rPr>
        <w:szCs w:val="22"/>
        <w:lang w:eastAsia="en-US"/>
      </w:rPr>
    </w:pPr>
  </w:p>
  <w:p w:rsidR="009A6574" w:rsidRDefault="009A6574">
    <w:pPr>
      <w:pStyle w:val="Intestazione"/>
      <w:bidi w:val="0"/>
      <w:rPr>
        <w:szCs w:val="22"/>
        <w:lang w:eastAsia="en-US"/>
      </w:rPr>
    </w:pPr>
  </w:p>
  <w:p w:rsidR="009A6574" w:rsidRDefault="009A6574">
    <w:pPr>
      <w:pStyle w:val="Intestazione"/>
      <w:bidi w:val="0"/>
      <w:rPr>
        <w:szCs w:val="22"/>
        <w:lang w:eastAsia="en-US"/>
      </w:rPr>
    </w:pPr>
  </w:p>
  <w:p w:rsidR="009A6574" w:rsidRDefault="009A6574">
    <w:pPr>
      <w:pStyle w:val="Intestazione"/>
      <w:bidi w:val="0"/>
      <w:rPr>
        <w:szCs w:val="22"/>
        <w:lang w:eastAsia="en-US"/>
      </w:rPr>
    </w:pPr>
  </w:p>
  <w:p w:rsidR="009A6574" w:rsidRDefault="009A6574">
    <w:pPr>
      <w:pStyle w:val="Intestazione"/>
      <w:bidi w:val="0"/>
      <w:rPr>
        <w:rtl/>
        <w:lang w:eastAsia="en-US"/>
      </w:rPr>
    </w:pPr>
  </w:p>
  <w:p w:rsidR="009A6574" w:rsidRDefault="009A6574">
    <w:pPr>
      <w:pStyle w:val="Intestazione"/>
      <w:bidi w:val="0"/>
      <w:rPr>
        <w:rtl/>
        <w:lang w:eastAsia="en-US"/>
      </w:rPr>
    </w:pPr>
  </w:p>
  <w:p w:rsidR="009A6574" w:rsidRDefault="009A6574">
    <w:pPr>
      <w:pStyle w:val="Intestazione"/>
      <w:pBdr>
        <w:bottom w:val="single" w:sz="36" w:space="1" w:color="auto"/>
      </w:pBdr>
      <w:bidi w:val="0"/>
      <w:rPr>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BE48F6"/>
    <w:lvl w:ilvl="0">
      <w:start w:val="1"/>
      <w:numFmt w:val="bullet"/>
      <w:pStyle w:val="Puntoelenco"/>
      <w:lvlText w:val=""/>
      <w:lvlJc w:val="left"/>
      <w:pPr>
        <w:tabs>
          <w:tab w:val="num" w:pos="1440"/>
        </w:tabs>
        <w:ind w:left="1440" w:right="1440" w:hanging="720"/>
      </w:pPr>
      <w:rPr>
        <w:rFonts w:ascii="Symbol" w:hAnsi="Symbol" w:hint="default"/>
      </w:rPr>
    </w:lvl>
  </w:abstractNum>
  <w:abstractNum w:abstractNumId="1">
    <w:nsid w:val="02B91CB6"/>
    <w:multiLevelType w:val="hybridMultilevel"/>
    <w:tmpl w:val="E4EE165C"/>
    <w:lvl w:ilvl="0" w:tplc="FE5248B4">
      <w:start w:val="1"/>
      <w:numFmt w:val="arabicAbjad"/>
      <w:pStyle w:val="a"/>
      <w:lvlText w:val="(%1)"/>
      <w:lvlJc w:val="left"/>
      <w:pPr>
        <w:tabs>
          <w:tab w:val="num" w:pos="1440"/>
        </w:tabs>
        <w:ind w:left="1440" w:right="1440" w:hanging="720"/>
      </w:pPr>
      <w:rPr>
        <w:rFonts w:ascii="Times New Roman" w:hAnsi="Times New Roman" w:cs="Traditional Arabic" w:hint="default"/>
        <w:b w:val="0"/>
        <w:bCs w:val="0"/>
        <w:i w:val="0"/>
        <w:iCs w:val="0"/>
        <w:caps w:val="0"/>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213348E2"/>
    <w:multiLevelType w:val="hybridMultilevel"/>
    <w:tmpl w:val="7944817C"/>
    <w:lvl w:ilvl="0" w:tplc="3D266618">
      <w:start w:val="1"/>
      <w:numFmt w:val="decimal"/>
      <w:pStyle w:val="Testonotaapidipagina"/>
      <w:lvlText w:val="(%1)"/>
      <w:lvlJc w:val="left"/>
      <w:pPr>
        <w:tabs>
          <w:tab w:val="num" w:pos="737"/>
        </w:tabs>
        <w:ind w:left="737" w:right="737" w:hanging="73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33655D9C"/>
    <w:multiLevelType w:val="hybridMultilevel"/>
    <w:tmpl w:val="C9DCA460"/>
    <w:lvl w:ilvl="0" w:tplc="E60CEABA">
      <w:start w:val="1"/>
      <w:numFmt w:val="decimal"/>
      <w:pStyle w:val="Artic1-"/>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394C6AF4"/>
    <w:multiLevelType w:val="hybridMultilevel"/>
    <w:tmpl w:val="B4F25B64"/>
    <w:lvl w:ilvl="0" w:tplc="2368BD92">
      <w:start w:val="6"/>
      <w:numFmt w:val="arabicAbjad"/>
      <w:pStyle w:val="-"/>
      <w:lvlText w:val="(%1)"/>
      <w:lvlJc w:val="left"/>
      <w:pPr>
        <w:tabs>
          <w:tab w:val="num" w:pos="1080"/>
        </w:tabs>
        <w:ind w:left="0" w:right="0" w:firstLine="720"/>
      </w:pPr>
      <w:rPr>
        <w:rFonts w:ascii="Times New Roman" w:hAnsi="Times New Roman" w:cs="Traditional Arabic" w:hint="default"/>
        <w:b w:val="0"/>
        <w:bCs w:val="0"/>
        <w:i w:val="0"/>
        <w:iCs w:val="0"/>
        <w:caps w:val="0"/>
        <w:spacing w:val="6"/>
        <w:w w:val="100"/>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3DEF3F8B"/>
    <w:multiLevelType w:val="hybridMultilevel"/>
    <w:tmpl w:val="A072E08C"/>
    <w:lvl w:ilvl="0" w:tplc="BCF0B69C">
      <w:start w:val="1"/>
      <w:numFmt w:val="decimal"/>
      <w:pStyle w:val="parag"/>
      <w:lvlText w:val="%1-"/>
      <w:lvlJc w:val="left"/>
      <w:pPr>
        <w:tabs>
          <w:tab w:val="num" w:pos="360"/>
        </w:tabs>
        <w:ind w:left="0" w:right="0" w:firstLine="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3F1E1156"/>
    <w:multiLevelType w:val="hybridMultilevel"/>
    <w:tmpl w:val="8632BE1C"/>
    <w:lvl w:ilvl="0" w:tplc="D25C9436">
      <w:start w:val="1"/>
      <w:numFmt w:val="decimal"/>
      <w:pStyle w:val="Rom1-"/>
      <w:lvlText w:val="'%1'"/>
      <w:lvlJc w:val="left"/>
      <w:pPr>
        <w:tabs>
          <w:tab w:val="num" w:pos="1440"/>
        </w:tabs>
        <w:ind w:left="1440" w:right="1440" w:hanging="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40B06C04"/>
    <w:multiLevelType w:val="hybridMultilevel"/>
    <w:tmpl w:val="A27051CA"/>
    <w:lvl w:ilvl="0" w:tplc="527CFA7C">
      <w:start w:val="6"/>
      <w:numFmt w:val="none"/>
      <w:pStyle w:val="a0"/>
      <w:lvlText w:val="(ﻫ)"/>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E656FEB0">
      <w:start w:val="6"/>
      <w:numFmt w:val="none"/>
      <w:lvlText w:val="(ﻫ)"/>
      <w:lvlJc w:val="left"/>
      <w:pPr>
        <w:tabs>
          <w:tab w:val="num" w:pos="1800"/>
        </w:tabs>
        <w:ind w:left="1800" w:right="1800" w:hanging="720"/>
      </w:pPr>
      <w:rPr>
        <w:rFonts w:ascii="Times New Roman" w:hAnsi="Times New Roman" w:cs="Traditional Arabic" w:hint="default"/>
        <w:b w:val="0"/>
        <w:bCs w:val="0"/>
        <w:i w:val="0"/>
        <w:iCs w:val="0"/>
        <w:caps w:val="0"/>
        <w:spacing w:val="6"/>
        <w:kern w:val="16"/>
        <w:sz w:val="22"/>
        <w:szCs w:val="3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59D80086"/>
    <w:multiLevelType w:val="hybridMultilevel"/>
    <w:tmpl w:val="608C4A4A"/>
    <w:lvl w:ilvl="0" w:tplc="5A340FAE">
      <w:start w:val="1"/>
      <w:numFmt w:val="decimal"/>
      <w:pStyle w:val="Testonotadichiusura"/>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20"/>
  <w:hyphenationZone w:val="283"/>
  <w:evenAndOddHeaders/>
  <w:drawingGridHorizontalSpacing w:val="113"/>
  <w:drawingGridVerticalSpacing w:val="299"/>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574"/>
    <w:rsid w:val="00502370"/>
    <w:rsid w:val="008F0329"/>
    <w:rsid w:val="009A65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spacing w:before="240" w:after="240"/>
      <w:jc w:val="lowKashida"/>
    </w:pPr>
    <w:rPr>
      <w:rFonts w:cs="Traditional Arabic"/>
      <w:spacing w:val="6"/>
      <w:kern w:val="16"/>
      <w:sz w:val="22"/>
      <w:szCs w:val="30"/>
      <w:lang w:val="en-US" w:eastAsia="ar-SA"/>
    </w:rPr>
  </w:style>
  <w:style w:type="paragraph" w:styleId="Titolo1">
    <w:name w:val="heading 1"/>
    <w:basedOn w:val="Normale"/>
    <w:next w:val="Normale"/>
    <w:qFormat/>
    <w:pPr>
      <w:keepNext/>
      <w:jc w:val="both"/>
      <w:outlineLvl w:val="0"/>
    </w:pPr>
    <w:rPr>
      <w:b/>
      <w:bCs/>
      <w:sz w:val="28"/>
      <w:szCs w:val="36"/>
    </w:rPr>
  </w:style>
  <w:style w:type="paragraph" w:styleId="Titolo2">
    <w:name w:val="heading 2"/>
    <w:basedOn w:val="Normale"/>
    <w:next w:val="Normale"/>
    <w:qFormat/>
    <w:pPr>
      <w:keepNext/>
      <w:jc w:val="center"/>
      <w:outlineLvl w:val="1"/>
    </w:pPr>
    <w:rPr>
      <w:sz w:val="28"/>
      <w:szCs w:val="36"/>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center"/>
      <w:outlineLvl w:val="3"/>
    </w:pPr>
    <w:rPr>
      <w:rFonts w:cs="Times New Roman"/>
      <w:szCs w:val="28"/>
      <w:u w:val="single"/>
    </w:rPr>
  </w:style>
  <w:style w:type="paragraph" w:styleId="Titolo5">
    <w:name w:val="heading 5"/>
    <w:basedOn w:val="Normale"/>
    <w:next w:val="Normale"/>
    <w:qFormat/>
    <w:pPr>
      <w:jc w:val="both"/>
      <w:outlineLvl w:val="4"/>
    </w:pPr>
    <w:rPr>
      <w:b/>
      <w:bCs/>
      <w:sz w:val="28"/>
      <w:szCs w:val="36"/>
    </w:rPr>
  </w:style>
  <w:style w:type="paragraph" w:styleId="Titolo6">
    <w:name w:val="heading 6"/>
    <w:basedOn w:val="Normale"/>
    <w:next w:val="Normale"/>
    <w:qFormat/>
    <w:pPr>
      <w:keepNext/>
      <w:jc w:val="both"/>
      <w:outlineLvl w:val="5"/>
    </w:pPr>
    <w:rPr>
      <w:sz w:val="28"/>
      <w:szCs w:val="36"/>
    </w:rPr>
  </w:style>
  <w:style w:type="paragraph" w:styleId="Titolo7">
    <w:name w:val="heading 7"/>
    <w:basedOn w:val="Normale"/>
    <w:next w:val="Normale"/>
    <w:qFormat/>
    <w:pPr>
      <w:keepNext/>
      <w:jc w:val="both"/>
      <w:outlineLvl w:val="6"/>
    </w:pPr>
    <w:rPr>
      <w:b/>
      <w:bCs/>
      <w:i/>
      <w:iCs/>
    </w:rPr>
  </w:style>
  <w:style w:type="paragraph" w:styleId="Titolo8">
    <w:name w:val="heading 8"/>
    <w:basedOn w:val="Normale"/>
    <w:next w:val="Normale"/>
    <w:qFormat/>
    <w:pPr>
      <w:keepNext/>
      <w:jc w:val="both"/>
      <w:outlineLvl w:val="7"/>
    </w:pPr>
    <w:rPr>
      <w:i/>
      <w:iCs/>
    </w:rPr>
  </w:style>
  <w:style w:type="paragraph" w:styleId="Titolo9">
    <w:name w:val="heading 9"/>
    <w:basedOn w:val="Normale"/>
    <w:next w:val="Normale"/>
    <w:qFormat/>
    <w:pPr>
      <w:keepNext/>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pPr>
      <w:numPr>
        <w:numId w:val="1"/>
      </w:numPr>
      <w:tabs>
        <w:tab w:val="clear" w:pos="737"/>
      </w:tabs>
      <w:ind w:left="0" w:right="0" w:firstLine="720"/>
      <w:jc w:val="both"/>
    </w:pPr>
    <w:rPr>
      <w:szCs w:val="28"/>
    </w:rPr>
  </w:style>
  <w:style w:type="character" w:styleId="Rimandonotaapidipagina">
    <w:name w:val="footnote reference"/>
    <w:semiHidden/>
    <w:rPr>
      <w:rFonts w:cs="Traditional Arabic"/>
      <w:bCs/>
      <w:szCs w:val="28"/>
      <w:vertAlign w:val="superscript"/>
      <w:lang w:bidi="ar-SA"/>
    </w:rPr>
  </w:style>
  <w:style w:type="paragraph" w:customStyle="1" w:styleId="a">
    <w:name w:val="(أ) إلى (د)"/>
    <w:basedOn w:val="Normale"/>
    <w:pPr>
      <w:numPr>
        <w:numId w:val="2"/>
      </w:numPr>
      <w:tabs>
        <w:tab w:val="clear" w:pos="1440"/>
      </w:tabs>
      <w:ind w:left="0" w:right="0" w:firstLine="720"/>
      <w:jc w:val="both"/>
    </w:pPr>
  </w:style>
  <w:style w:type="paragraph" w:customStyle="1" w:styleId="a0">
    <w:name w:val="(ه‍)"/>
    <w:basedOn w:val="a"/>
    <w:pPr>
      <w:numPr>
        <w:numId w:val="3"/>
      </w:numPr>
      <w:tabs>
        <w:tab w:val="clear" w:pos="1080"/>
        <w:tab w:val="left" w:pos="720"/>
      </w:tabs>
    </w:pPr>
  </w:style>
  <w:style w:type="paragraph" w:customStyle="1" w:styleId="parag">
    <w:name w:val="parag"/>
    <w:pPr>
      <w:numPr>
        <w:numId w:val="4"/>
      </w:numPr>
      <w:tabs>
        <w:tab w:val="clear" w:pos="360"/>
        <w:tab w:val="left" w:pos="720"/>
      </w:tabs>
      <w:bidi/>
      <w:spacing w:before="180" w:after="180" w:line="400" w:lineRule="exact"/>
      <w:jc w:val="both"/>
    </w:pPr>
    <w:rPr>
      <w:rFonts w:cs="Traditional Arabic"/>
      <w:spacing w:val="6"/>
      <w:kern w:val="16"/>
      <w:sz w:val="22"/>
      <w:szCs w:val="30"/>
      <w:lang w:val="en-US" w:eastAsia="ar-SA"/>
    </w:rPr>
  </w:style>
  <w:style w:type="paragraph" w:styleId="Puntoelenco">
    <w:name w:val="List Bullet"/>
    <w:basedOn w:val="Normale"/>
    <w:autoRedefine/>
    <w:semiHidden/>
    <w:pPr>
      <w:numPr>
        <w:numId w:val="6"/>
      </w:numPr>
      <w:ind w:right="0"/>
      <w:jc w:val="both"/>
    </w:pPr>
  </w:style>
  <w:style w:type="paragraph" w:customStyle="1" w:styleId="Artic1-">
    <w:name w:val="Artic_1-"/>
    <w:basedOn w:val="Normale"/>
    <w:pPr>
      <w:numPr>
        <w:numId w:val="7"/>
      </w:numPr>
      <w:jc w:val="both"/>
    </w:pPr>
  </w:style>
  <w:style w:type="paragraph" w:customStyle="1" w:styleId="-">
    <w:name w:val="(و) -"/>
    <w:basedOn w:val="Normale"/>
    <w:pPr>
      <w:numPr>
        <w:numId w:val="5"/>
      </w:numPr>
      <w:tabs>
        <w:tab w:val="clear" w:pos="1080"/>
      </w:tabs>
      <w:jc w:val="both"/>
    </w:pPr>
  </w:style>
  <w:style w:type="paragraph" w:styleId="Testonotadichiusura">
    <w:name w:val="endnote text"/>
    <w:basedOn w:val="Normale"/>
    <w:semiHidden/>
    <w:pPr>
      <w:numPr>
        <w:numId w:val="9"/>
      </w:numPr>
      <w:jc w:val="both"/>
    </w:pPr>
    <w:rPr>
      <w:sz w:val="21"/>
      <w:szCs w:val="28"/>
    </w:rPr>
  </w:style>
  <w:style w:type="paragraph" w:styleId="Pidipagina">
    <w:name w:val="footer"/>
    <w:basedOn w:val="Normale"/>
    <w:semiHidden/>
    <w:pPr>
      <w:spacing w:before="0" w:after="0"/>
      <w:jc w:val="both"/>
    </w:pPr>
  </w:style>
  <w:style w:type="paragraph" w:styleId="Sommario9">
    <w:name w:val="toc 9"/>
    <w:basedOn w:val="Normale"/>
    <w:next w:val="Normale"/>
    <w:autoRedefine/>
    <w:semiHidden/>
    <w:pPr>
      <w:ind w:left="1760"/>
      <w:jc w:val="both"/>
    </w:pPr>
  </w:style>
  <w:style w:type="paragraph" w:customStyle="1" w:styleId="Rom1-">
    <w:name w:val="Rom_'1'-"/>
    <w:basedOn w:val="Normale"/>
    <w:pPr>
      <w:numPr>
        <w:numId w:val="8"/>
      </w:numPr>
      <w:ind w:right="0"/>
      <w:jc w:val="both"/>
    </w:pPr>
  </w:style>
  <w:style w:type="character" w:styleId="Rimandonotadichiusura">
    <w:name w:val="endnote reference"/>
    <w:semiHidden/>
    <w:rPr>
      <w:rFonts w:ascii="Times New Roman" w:hAnsi="Times New Roman" w:cs="Traditional Arabic"/>
      <w:bCs/>
      <w:szCs w:val="28"/>
      <w:vertAlign w:val="superscript"/>
      <w:lang w:bidi="ar-SA"/>
    </w:rPr>
  </w:style>
  <w:style w:type="paragraph" w:customStyle="1" w:styleId="H1CLB">
    <w:name w:val="H1_C+L+B"/>
    <w:basedOn w:val="Normale"/>
    <w:pPr>
      <w:jc w:val="center"/>
    </w:pPr>
    <w:rPr>
      <w:bCs/>
      <w:sz w:val="28"/>
      <w:szCs w:val="36"/>
    </w:rPr>
  </w:style>
  <w:style w:type="paragraph" w:customStyle="1" w:styleId="H2CL">
    <w:name w:val="H2_C+L"/>
    <w:basedOn w:val="Normale"/>
    <w:pPr>
      <w:jc w:val="center"/>
    </w:pPr>
    <w:rPr>
      <w:sz w:val="28"/>
      <w:szCs w:val="36"/>
    </w:rPr>
  </w:style>
  <w:style w:type="paragraph" w:customStyle="1" w:styleId="H3CB">
    <w:name w:val="H3_C+B"/>
    <w:basedOn w:val="Normale"/>
    <w:pPr>
      <w:jc w:val="center"/>
    </w:pPr>
    <w:rPr>
      <w:b/>
      <w:bCs/>
    </w:rPr>
  </w:style>
  <w:style w:type="paragraph" w:customStyle="1" w:styleId="H4CU">
    <w:name w:val="H4_C+U"/>
    <w:basedOn w:val="Normale"/>
    <w:pPr>
      <w:jc w:val="center"/>
    </w:pPr>
    <w:rPr>
      <w:u w:val="single"/>
    </w:rPr>
  </w:style>
  <w:style w:type="paragraph" w:customStyle="1" w:styleId="H5RLB">
    <w:name w:val="H5_R+L+B"/>
    <w:basedOn w:val="Normale"/>
    <w:pPr>
      <w:jc w:val="both"/>
    </w:pPr>
    <w:rPr>
      <w:b/>
      <w:bCs/>
      <w:sz w:val="28"/>
      <w:szCs w:val="36"/>
    </w:rPr>
  </w:style>
  <w:style w:type="paragraph" w:customStyle="1" w:styleId="H6RL">
    <w:name w:val="H6_R+L"/>
    <w:basedOn w:val="Normale"/>
    <w:pPr>
      <w:jc w:val="both"/>
    </w:pPr>
    <w:rPr>
      <w:sz w:val="28"/>
      <w:szCs w:val="36"/>
    </w:rPr>
  </w:style>
  <w:style w:type="paragraph" w:customStyle="1" w:styleId="H7RBI">
    <w:name w:val="H7_R+B+I"/>
    <w:basedOn w:val="Normale"/>
    <w:pPr>
      <w:jc w:val="both"/>
    </w:pPr>
    <w:rPr>
      <w:b/>
      <w:bCs/>
      <w:i/>
      <w:iCs/>
    </w:rPr>
  </w:style>
  <w:style w:type="paragraph" w:customStyle="1" w:styleId="H8">
    <w:name w:val="H8"/>
    <w:basedOn w:val="Normale"/>
    <w:pPr>
      <w:jc w:val="both"/>
    </w:pPr>
    <w:rPr>
      <w:i/>
      <w:iCs/>
    </w:rPr>
  </w:style>
  <w:style w:type="paragraph" w:customStyle="1" w:styleId="H8RI">
    <w:name w:val="H8_R+I"/>
    <w:basedOn w:val="Normale"/>
    <w:pPr>
      <w:jc w:val="both"/>
    </w:pPr>
    <w:rPr>
      <w:i/>
      <w:iCs/>
    </w:rPr>
  </w:style>
  <w:style w:type="paragraph" w:customStyle="1" w:styleId="H9RU">
    <w:name w:val="H9_R+U"/>
    <w:basedOn w:val="Normale"/>
    <w:pPr>
      <w:jc w:val="both"/>
    </w:pPr>
    <w:rPr>
      <w:u w:val="single"/>
    </w:rPr>
  </w:style>
  <w:style w:type="paragraph" w:customStyle="1" w:styleId="HCCIn">
    <w:name w:val="HC_C+In."/>
    <w:basedOn w:val="Normale"/>
    <w:pPr>
      <w:ind w:left="2705" w:right="1985" w:hanging="720"/>
      <w:jc w:val="both"/>
    </w:pPr>
  </w:style>
  <w:style w:type="paragraph" w:customStyle="1" w:styleId="HaRIn">
    <w:name w:val="Ha_R+In."/>
    <w:basedOn w:val="Normale"/>
    <w:pPr>
      <w:ind w:left="720" w:hanging="720"/>
      <w:jc w:val="both"/>
    </w:pPr>
  </w:style>
  <w:style w:type="character" w:styleId="Collegamentoipertestuale">
    <w:name w:val="Hyperlink"/>
    <w:semiHidden/>
    <w:rPr>
      <w:color w:val="auto"/>
      <w:u w:val="none"/>
    </w:rPr>
  </w:style>
  <w:style w:type="paragraph" w:customStyle="1" w:styleId="HCCCm">
    <w:name w:val="HCC_Cm"/>
    <w:basedOn w:val="Normale"/>
    <w:pPr>
      <w:keepNext/>
      <w:ind w:left="1985" w:right="1985"/>
      <w:jc w:val="both"/>
    </w:pPr>
  </w:style>
  <w:style w:type="paragraph" w:styleId="Intestazione">
    <w:name w:val="header"/>
    <w:basedOn w:val="Normale"/>
    <w:semiHidden/>
    <w:pPr>
      <w:spacing w:before="0" w:after="0"/>
      <w:jc w:val="both"/>
    </w:pPr>
  </w:style>
  <w:style w:type="character" w:styleId="Numeropagina">
    <w:name w:val="page number"/>
    <w:basedOn w:val="Carpredefinitoparagrafo"/>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TEMPLATEX\FINALX\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6</Pages>
  <Words>1557</Words>
  <Characters>8879</Characters>
  <Application>Microsoft Office Word</Application>
  <DocSecurity>0</DocSecurity>
  <Lines>73</Lines>
  <Paragraphs>20</Paragraphs>
  <ScaleCrop>false</ScaleCrop>
  <HeadingPairs>
    <vt:vector size="6" baseType="variant">
      <vt:variant>
        <vt:lpstr>Titolo</vt:lpstr>
      </vt:variant>
      <vt:variant>
        <vt:i4>1</vt:i4>
      </vt:variant>
      <vt:variant>
        <vt:lpstr>العنوان</vt:lpstr>
      </vt:variant>
      <vt:variant>
        <vt:i4>1</vt:i4>
      </vt:variant>
      <vt:variant>
        <vt:lpstr>Title</vt:lpstr>
      </vt:variant>
      <vt:variant>
        <vt:i4>1</vt:i4>
      </vt:variant>
    </vt:vector>
  </HeadingPairs>
  <TitlesOfParts>
    <vt:vector size="3" baseType="lpstr">
      <vt:lpstr>الجمعية العامة</vt:lpstr>
      <vt:lpstr>الجمعية العامة</vt:lpstr>
      <vt:lpstr>الجمعية العامة</vt:lpstr>
    </vt:vector>
  </TitlesOfParts>
  <Company>ONU</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الجمعية العامة</dc:title>
  <dc:creator>سحر</dc:creator>
  <cp:lastModifiedBy>Carmelo</cp:lastModifiedBy>
  <cp:revision>2</cp:revision>
  <cp:lastPrinted>2004-12-09T09:48:00Z</cp:lastPrinted>
  <dcterms:created xsi:type="dcterms:W3CDTF">2016-01-21T15:12:00Z</dcterms:created>
  <dcterms:modified xsi:type="dcterms:W3CDTF">2016-01-21T15:12:00Z</dcterms:modified>
</cp:coreProperties>
</file>